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Company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~$815M vs. cons $803M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~68.5% vs. cons ~69.5%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~22% (21-23% range) vs. cons ~22%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~24% vs. cons ~28% (&gt;25% prior guide)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~+50bp vs. cons ~+100bp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(FADE)</w:t>
            </w:r>
          </w:p>
        </w:tc>
        <w:tc>
          <w:tcPr/>
          <w:p>
            <w:pPr>
              <w:pStyle w:val="Compact"/>
            </w:pPr>
            <w:r>
              <w:t xml:space="preserve">Even if Q2 headline revenue/EPS beat, gross margin miss from ongoing warranty/E&amp;O costs tied to both 2026 device corrections plus an implicit trim to the FY EPS-growth (&gt;25%) and operating-margin-expansion targets will force sell-side models to cut H2 estimates, echoing the May pattern where a beat-and-raise quarter still sold off; litigation overhang (lead plaintiff deadline Aug 31) and looming Tandem tubeless competition keep sentiment fragile, so any initial relief bounce likely fades as analysts revise 2H26/2027 numbers down.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2026-08-05T00:12:49Z</dcterms:created>
  <dcterms:modified xsi:type="dcterms:W3CDTF">2026-08-05T00:12:49Z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