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podd-q2-2026-earnings-preview"/>
    <w:p>
      <w:pPr>
        <w:pStyle w:val="Heading1"/>
      </w:pPr>
      <w:r>
        <w:t xml:space="preserve">PODD Q2 2026 Earnings Preview</w:t>
      </w:r>
    </w:p>
    <w:p>
      <w:pPr>
        <w:pStyle w:val="FirstParagraph"/>
      </w:pPr>
      <w:r>
        <w:rPr>
          <w:b/>
          <w:bCs/>
        </w:rPr>
        <w:t xml:space="preserve">Earnings date:</w:t>
      </w:r>
      <w:r>
        <w:t xml:space="preserve"> </w:t>
      </w:r>
      <w:r>
        <w:t xml:space="preserve">August 5, 2026</w:t>
      </w:r>
      <w:r>
        <w:br/>
      </w:r>
      <w:r>
        <w:rPr>
          <w:b/>
          <w:bCs/>
        </w:rPr>
        <w:t xml:space="preserve">Company:</w:t>
      </w:r>
      <w:r>
        <w:t xml:space="preserve"> </w:t>
      </w:r>
      <w:r>
        <w:t xml:space="preserve">Insulet</w:t>
      </w:r>
      <w:r>
        <w:br/>
      </w:r>
      <w:r>
        <w:rPr>
          <w:b/>
          <w:bCs/>
        </w:rPr>
        <w:t xml:space="preserve">Ticker:</w:t>
      </w:r>
      <w:r>
        <w:t xml:space="preserve"> </w:t>
      </w:r>
      <w:r>
        <w:t xml:space="preserve">PODD</w:t>
      </w:r>
      <w:r>
        <w:br/>
      </w:r>
      <w:r>
        <w:rPr>
          <w:b/>
          <w:bCs/>
        </w:rPr>
        <w:t xml:space="preserve">Primary debate:</w:t>
      </w:r>
      <w:r>
        <w:t xml:space="preserve"> </w:t>
      </w:r>
      <w:r>
        <w:t xml:space="preserve">Whether strong Omnipod demand is intact despite manufacturing corrections, tougher comparisons, and increasing competition.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Insulet enters Q2 with a sharp disconnect between operating performance and the share price. Q1 revenue grew 30% in constant currency, management raised full-year revenue guidance, and adjusted EPS increased roughly 40%. Yet PODD closed August 4 at</w:t>
      </w:r>
      <w:r>
        <w:t xml:space="preserve"> </w:t>
      </w:r>
      <w:r>
        <w:rPr>
          <w:b/>
          <w:bCs/>
        </w:rPr>
        <w:t xml:space="preserve">$166.85</w:t>
      </w:r>
      <w:r>
        <w:t xml:space="preserve">, down approximately</w:t>
      </w:r>
      <w:r>
        <w:t xml:space="preserve"> </w:t>
      </w:r>
      <w:r>
        <w:rPr>
          <w:b/>
          <w:bCs/>
        </w:rPr>
        <w:t xml:space="preserve">41% from January 2</w:t>
      </w:r>
      <w:r>
        <w:t xml:space="preserve"> </w:t>
      </w:r>
      <w:r>
        <w:t xml:space="preserve">and essentially unchanged from the day before its Q1 report.</w:t>
      </w:r>
    </w:p>
    <w:p>
      <w:pPr>
        <w:pStyle w:val="BodyText"/>
      </w:pPr>
      <w:r>
        <w:t xml:space="preserve">That suggests the market is looking beyond a simple quarterly beat. The report needs to establish three things: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new-customer momentum remains healthy</w:t>
      </w:r>
      <w:r>
        <w:t xml:space="preserve">, particularly in type 2 diabetes.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2026 medical-device corrections are contained</w:t>
      </w:r>
      <w:r>
        <w:t xml:space="preserve"> </w:t>
      </w:r>
      <w:r>
        <w:t xml:space="preserve">and have not affected prescriptions, shipments, or brand perception.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Management can sustain approximately 20% long-term growth</w:t>
      </w:r>
      <w:r>
        <w:t xml:space="preserve"> </w:t>
      </w:r>
      <w:r>
        <w:t xml:space="preserve">as international comparisons become harder and competition increases.</w:t>
      </w:r>
    </w:p>
    <w:p>
      <w:pPr>
        <w:pStyle w:val="FirstParagraph"/>
      </w:pPr>
      <w:r>
        <w:t xml:space="preserve">A revenue beat without reassuring commentary on these issues may not be enough.</w:t>
      </w:r>
    </w:p>
    <w:p>
      <w:r>
        <w:pict>
          <v:rect style="width:0;height:1.5pt" o:hralign="center" o:hrstd="t" o:hr="t"/>
        </w:pict>
      </w:r>
    </w:p>
    <w:bookmarkEnd w:id="9"/>
    <w:bookmarkStart w:id="10" w:name="q2-financial-hurdle"/>
    <w:p>
      <w:pPr>
        <w:pStyle w:val="Heading2"/>
      </w:pPr>
      <w:r>
        <w:t xml:space="preserve">Q2 financial hurdle</w:t>
      </w:r>
    </w:p>
    <w:p>
      <w:pPr>
        <w:pStyle w:val="FirstParagraph"/>
      </w:pPr>
      <w:r>
        <w:t xml:space="preserve">Insulet’s Q2 guidance, issued May 6, was: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Omnipod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18%–20% 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Omnipod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28%–30% 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Omnipod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21%–23% 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company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20%–22% 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FX benefit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1 point to total growth; 2 points internationally</w:t>
            </w:r>
          </w:p>
        </w:tc>
      </w:tr>
    </w:tbl>
    <w:p>
      <w:pPr>
        <w:pStyle w:val="BodyText"/>
      </w:pPr>
      <w:r>
        <w:t xml:space="preserve">Applied to Q2 2025 results, guidance implies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Q2 2026 reported 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785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798M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Omnipod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535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544M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Omnipod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242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245M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Omnipod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780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792M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Drug Delivery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$5M</w:t>
            </w:r>
          </w:p>
        </w:tc>
      </w:tr>
    </w:tbl>
    <w:p>
      <w:pPr>
        <w:pStyle w:val="BodyText"/>
      </w:pPr>
      <w:r>
        <w:t xml:space="preserve">The U.S. comparison deserves context. About</w:t>
      </w:r>
      <w:r>
        <w:t xml:space="preserve"> </w:t>
      </w:r>
      <w:r>
        <w:rPr>
          <w:b/>
          <w:bCs/>
        </w:rPr>
        <w:t xml:space="preserve">$10 million of distributor orders shifted from Q2 into Q1</w:t>
      </w:r>
      <w:r>
        <w:t xml:space="preserve">, creating an estimated two-percentage-point headwind to Q2 growth. Thus, the guidance effectively assumes underlying U.S. growth closer to</w:t>
      </w:r>
      <w:r>
        <w:t xml:space="preserve"> </w:t>
      </w:r>
      <w:r>
        <w:rPr>
          <w:b/>
          <w:bCs/>
        </w:rPr>
        <w:t xml:space="preserve">20%–22%</w:t>
      </w:r>
      <w:r>
        <w:t xml:space="preserve">.</w:t>
      </w:r>
    </w:p>
    <w:p>
      <w:pPr>
        <w:pStyle w:val="BodyText"/>
      </w:pPr>
      <w:r>
        <w:t xml:space="preserve">A high-quality result would therefore include total revenue above the upper end of guidance, underlying U.S. growth above 22%, and international growth above the guided 28%–30% constant-currency range.</w:t>
      </w:r>
    </w:p>
    <w:p>
      <w:r>
        <w:pict>
          <v:rect style="width:0;height:1.5pt" o:hralign="center" o:hrstd="t" o:hr="t"/>
        </w:pict>
      </w:r>
    </w:p>
    <w:bookmarkEnd w:id="10"/>
    <w:bookmarkStart w:id="14" w:name="what-matters-most"/>
    <w:p>
      <w:pPr>
        <w:pStyle w:val="Heading2"/>
      </w:pPr>
      <w:r>
        <w:t xml:space="preserve">What matters most</w:t>
      </w:r>
    </w:p>
    <w:bookmarkStart w:id="11" w:name="X6cf15825bfba4d49808e22b20020284e540c090"/>
    <w:p>
      <w:pPr>
        <w:pStyle w:val="Heading3"/>
      </w:pPr>
      <w:r>
        <w:t xml:space="preserve">1. U.S. demand and new-customer starts</w:t>
      </w:r>
    </w:p>
    <w:p>
      <w:pPr>
        <w:pStyle w:val="FirstParagraph"/>
      </w:pPr>
      <w:r>
        <w:t xml:space="preserve">Q1 U.S. Omnipod revenue grew 28%, or approximately 26% excluding the distributor-order timing benefit. New-customer starts increased year over year but declined sequentially as deductible resets created greater-than-normal seasonality. Management said trends improved each month and continued strengthening into April.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2"/>
        </w:numPr>
      </w:pPr>
      <w:r>
        <w:t xml:space="preserve">Whether Q2 new-customer starts accelerated sequentially.</w:t>
      </w:r>
    </w:p>
    <w:p>
      <w:pPr>
        <w:pStyle w:val="Compact"/>
        <w:numPr>
          <w:ilvl w:val="0"/>
          <w:numId w:val="1002"/>
        </w:numPr>
      </w:pPr>
      <w:r>
        <w:t xml:space="preserve">Growth excluding the $10 million order-timing reversal.</w:t>
      </w:r>
    </w:p>
    <w:p>
      <w:pPr>
        <w:pStyle w:val="Compact"/>
        <w:numPr>
          <w:ilvl w:val="0"/>
          <w:numId w:val="1002"/>
        </w:numPr>
      </w:pPr>
      <w:r>
        <w:t xml:space="preserve">Whether U.S. net pricing remained positive.</w:t>
      </w:r>
    </w:p>
    <w:p>
      <w:pPr>
        <w:pStyle w:val="Compact"/>
        <w:numPr>
          <w:ilvl w:val="0"/>
          <w:numId w:val="1002"/>
        </w:numPr>
      </w:pPr>
      <w:r>
        <w:t xml:space="preserve">Prescription trends following the expanded sales force.</w:t>
      </w:r>
    </w:p>
    <w:p>
      <w:pPr>
        <w:pStyle w:val="Compact"/>
        <w:numPr>
          <w:ilvl w:val="0"/>
          <w:numId w:val="1002"/>
        </w:numPr>
      </w:pPr>
      <w:r>
        <w:t xml:space="preserve">Evidence that competing pharmacy-channel pumps have not affected access, pricing, or share.</w:t>
      </w:r>
    </w:p>
    <w:p>
      <w:pPr>
        <w:pStyle w:val="FirstParagraph"/>
      </w:pPr>
      <w:r>
        <w:t xml:space="preserve">A reported 18%–20% U.S. growth rate would be acceptable under guidance, but commentary on underlying demand will determine how investors interpret it.</w:t>
      </w:r>
    </w:p>
    <w:bookmarkEnd w:id="11"/>
    <w:bookmarkStart w:id="12" w:name="X62563e6410fab49956123c429c6c8cb2aa611d8"/>
    <w:p>
      <w:pPr>
        <w:pStyle w:val="Heading3"/>
      </w:pPr>
      <w:r>
        <w:t xml:space="preserve">2. Type 2 adoption and retention</w:t>
      </w:r>
    </w:p>
    <w:p>
      <w:pPr>
        <w:pStyle w:val="FirstParagraph"/>
      </w:pPr>
      <w:r>
        <w:t xml:space="preserve">Type 2 represented approximately</w:t>
      </w:r>
      <w:r>
        <w:t xml:space="preserve"> </w:t>
      </w:r>
      <w:r>
        <w:rPr>
          <w:b/>
          <w:bCs/>
        </w:rPr>
        <w:t xml:space="preserve">40% of U.S. new-customer starts in Q1</w:t>
      </w:r>
      <w:r>
        <w:t xml:space="preserve">. Management estimates AID penetration in insulin-using type 2 patients remains around 5%, versus roughly 55% CGM penetration, leaving a substantial conversion opportunity.</w:t>
      </w:r>
    </w:p>
    <w:p>
      <w:pPr>
        <w:pStyle w:val="BodyText"/>
      </w:pPr>
      <w:r>
        <w:t xml:space="preserve">The concern is retention. Insulet has said type 2 users show similar utilization to type 1 users once established, but somewhat higher early attrition because onboarding and adaptation require more support.</w:t>
      </w:r>
    </w:p>
    <w:p>
      <w:pPr>
        <w:pStyle w:val="BodyText"/>
      </w:pPr>
      <w:r>
        <w:t xml:space="preserve">Key disclosures would include:</w:t>
      </w:r>
    </w:p>
    <w:p>
      <w:pPr>
        <w:pStyle w:val="Compact"/>
        <w:numPr>
          <w:ilvl w:val="0"/>
          <w:numId w:val="1003"/>
        </w:numPr>
      </w:pPr>
      <w:r>
        <w:t xml:space="preserve">Type 2’s share of Q2 new starts.</w:t>
      </w:r>
    </w:p>
    <w:p>
      <w:pPr>
        <w:pStyle w:val="Compact"/>
        <w:numPr>
          <w:ilvl w:val="0"/>
          <w:numId w:val="1003"/>
        </w:numPr>
      </w:pPr>
      <w:r>
        <w:t xml:space="preserve">Sequential growth in the type 2 customer base.</w:t>
      </w:r>
    </w:p>
    <w:p>
      <w:pPr>
        <w:pStyle w:val="Compact"/>
        <w:numPr>
          <w:ilvl w:val="0"/>
          <w:numId w:val="1003"/>
        </w:numPr>
      </w:pPr>
      <w:r>
        <w:t xml:space="preserve">Changes in early retention or discontinuation rates.</w:t>
      </w:r>
    </w:p>
    <w:p>
      <w:pPr>
        <w:pStyle w:val="Compact"/>
        <w:numPr>
          <w:ilvl w:val="0"/>
          <w:numId w:val="1003"/>
        </w:numPr>
      </w:pPr>
      <w:r>
        <w:t xml:space="preserve">Progress with onboarding and customer-support programs.</w:t>
      </w:r>
    </w:p>
    <w:p>
      <w:pPr>
        <w:pStyle w:val="Compact"/>
        <w:numPr>
          <w:ilvl w:val="0"/>
          <w:numId w:val="1003"/>
        </w:numPr>
      </w:pPr>
      <w:r>
        <w:t xml:space="preserve">Any observable impact from broader GLP-1 adoption.</w:t>
      </w:r>
    </w:p>
    <w:p>
      <w:pPr>
        <w:pStyle w:val="FirstParagraph"/>
      </w:pPr>
      <w:r>
        <w:t xml:space="preserve">Stable aggregate retention near the roughly 90% level cited last quarter would be reassuring.</w:t>
      </w:r>
    </w:p>
    <w:bookmarkEnd w:id="12"/>
    <w:bookmarkStart w:id="13" w:name="Xa1d31f9ed4e443bce21c441338d4614615ff1be"/>
    <w:p>
      <w:pPr>
        <w:pStyle w:val="Heading3"/>
      </w:pPr>
      <w:r>
        <w:t xml:space="preserve">3. International normalization</w:t>
      </w:r>
    </w:p>
    <w:p>
      <w:pPr>
        <w:pStyle w:val="FirstParagraph"/>
      </w:pPr>
      <w:r>
        <w:t xml:space="preserve">International Omnipod revenue grew 45% in constant currency in Q1, the third consecutive quarter above 40%. Q2 guidance calls for a deceleration to 28%–30%.</w:t>
      </w:r>
    </w:p>
    <w:p>
      <w:pPr>
        <w:pStyle w:val="BodyText"/>
      </w:pPr>
      <w:r>
        <w:t xml:space="preserve">Management attributes that moderation to:</w:t>
      </w:r>
    </w:p>
    <w:p>
      <w:pPr>
        <w:pStyle w:val="Compact"/>
        <w:numPr>
          <w:ilvl w:val="0"/>
          <w:numId w:val="1004"/>
        </w:numPr>
      </w:pPr>
      <w:r>
        <w:t xml:space="preserve">Tougher comparisons against prior launches.</w:t>
      </w:r>
    </w:p>
    <w:p>
      <w:pPr>
        <w:pStyle w:val="Compact"/>
        <w:numPr>
          <w:ilvl w:val="0"/>
          <w:numId w:val="1004"/>
        </w:numPr>
      </w:pPr>
      <w:r>
        <w:t xml:space="preserve">A slowing benefit from conversion of DASH users to higher-priced Omnipod 5.</w:t>
      </w:r>
    </w:p>
    <w:p>
      <w:pPr>
        <w:pStyle w:val="Compact"/>
        <w:numPr>
          <w:ilvl w:val="0"/>
          <w:numId w:val="1004"/>
        </w:numPr>
      </w:pPr>
      <w:r>
        <w:t xml:space="preserve">Normalization after unusually strong recent growth.</w:t>
      </w:r>
    </w:p>
    <w:p>
      <w:pPr>
        <w:pStyle w:val="FirstParagraph"/>
      </w:pPr>
      <w:r>
        <w:t xml:space="preserve">Importantly, management expected international revenue dollars to continue rising sequentially on a constant-currency basis.</w:t>
      </w:r>
    </w:p>
    <w:p>
      <w:pPr>
        <w:pStyle w:val="BodyText"/>
      </w:pPr>
      <w:r>
        <w:t xml:space="preserve">Investors should distinguish benign comparison-driven deceleration from weakening new-customer activity. Growth above 30%, combined with healthy starts in the U.K., France, and Germany, would materially improve the report.</w:t>
      </w:r>
    </w:p>
    <w:p>
      <w:pPr>
        <w:pStyle w:val="BodyText"/>
      </w:pPr>
      <w:r>
        <w:t xml:space="preserve">Other items to watch include:</w:t>
      </w:r>
    </w:p>
    <w:p>
      <w:pPr>
        <w:pStyle w:val="Compact"/>
        <w:numPr>
          <w:ilvl w:val="0"/>
          <w:numId w:val="1005"/>
        </w:numPr>
      </w:pPr>
      <w:r>
        <w:t xml:space="preserve">Timing of the planned Spain launch in the second half.</w:t>
      </w:r>
    </w:p>
    <w:p>
      <w:pPr>
        <w:pStyle w:val="Compact"/>
        <w:numPr>
          <w:ilvl w:val="0"/>
          <w:numId w:val="1005"/>
        </w:numPr>
      </w:pPr>
      <w:r>
        <w:t xml:space="preserve">Libre 3 Plus launches in Germany and Canada.</w:t>
      </w:r>
    </w:p>
    <w:p>
      <w:pPr>
        <w:pStyle w:val="Compact"/>
        <w:numPr>
          <w:ilvl w:val="0"/>
          <w:numId w:val="1005"/>
        </w:numPr>
      </w:pPr>
      <w:r>
        <w:t xml:space="preserve">Benefits from improved Canadian reimbursement.</w:t>
      </w:r>
    </w:p>
    <w:p>
      <w:pPr>
        <w:pStyle w:val="Compact"/>
        <w:numPr>
          <w:ilvl w:val="0"/>
          <w:numId w:val="1005"/>
        </w:numPr>
      </w:pPr>
      <w:r>
        <w:t xml:space="preserve">International retention and profitability.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the-largest-risk-manufacturing-quality"/>
    <w:p>
      <w:pPr>
        <w:pStyle w:val="Heading2"/>
      </w:pPr>
      <w:r>
        <w:t xml:space="preserve">The largest risk: manufacturing quality</w:t>
      </w:r>
    </w:p>
    <w:p>
      <w:pPr>
        <w:pStyle w:val="FirstParagraph"/>
      </w:pPr>
      <w:r>
        <w:t xml:space="preserve">Insulet has announced two separate voluntary medical-device corrections in 2026 involving cannula tears associated with handling processes at its Acton facility.</w:t>
      </w:r>
    </w:p>
    <w:bookmarkStart w:id="15" w:name="march-correction"/>
    <w:p>
      <w:pPr>
        <w:pStyle w:val="Heading3"/>
      </w:pPr>
      <w:r>
        <w:t xml:space="preserve">March correction</w:t>
      </w:r>
    </w:p>
    <w:p>
      <w:pPr>
        <w:pStyle w:val="Compact"/>
        <w:numPr>
          <w:ilvl w:val="0"/>
          <w:numId w:val="1006"/>
        </w:numPr>
      </w:pPr>
      <w:r>
        <w:t xml:space="preserve">Initially expected to cost up to $40 million.</w:t>
      </w:r>
    </w:p>
    <w:p>
      <w:pPr>
        <w:pStyle w:val="Compact"/>
        <w:numPr>
          <w:ilvl w:val="0"/>
          <w:numId w:val="1006"/>
        </w:numPr>
      </w:pPr>
      <w:r>
        <w:t xml:space="preserve">The Q1 filing subsequently estimated total costs around</w:t>
      </w:r>
      <w:r>
        <w:t xml:space="preserve"> </w:t>
      </w:r>
      <w:r>
        <w:rPr>
          <w:b/>
          <w:bCs/>
        </w:rPr>
        <w:t xml:space="preserve">$30 million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More than half was expected in 2026, with the remainder in 2027 for incremental manual quality inspections.</w:t>
      </w:r>
    </w:p>
    <w:p>
      <w:pPr>
        <w:pStyle w:val="Compact"/>
        <w:numPr>
          <w:ilvl w:val="0"/>
          <w:numId w:val="1006"/>
        </w:numPr>
      </w:pPr>
      <w:r>
        <w:t xml:space="preserve">Q1 included approximately</w:t>
      </w:r>
      <w:r>
        <w:t xml:space="preserve"> </w:t>
      </w:r>
      <w:r>
        <w:rPr>
          <w:b/>
          <w:bCs/>
        </w:rPr>
        <w:t xml:space="preserve">$12 million</w:t>
      </w:r>
      <w:r>
        <w:t xml:space="preserve"> </w:t>
      </w:r>
      <w:r>
        <w:t xml:space="preserve">of warranty expense, excluded from adjusted results.</w:t>
      </w:r>
    </w:p>
    <w:bookmarkEnd w:id="15"/>
    <w:bookmarkStart w:id="16" w:name="may-correction"/>
    <w:p>
      <w:pPr>
        <w:pStyle w:val="Heading3"/>
      </w:pPr>
      <w:r>
        <w:t xml:space="preserve">May correction</w:t>
      </w:r>
    </w:p>
    <w:p>
      <w:pPr>
        <w:pStyle w:val="Compact"/>
        <w:numPr>
          <w:ilvl w:val="0"/>
          <w:numId w:val="1007"/>
        </w:numPr>
      </w:pPr>
      <w:r>
        <w:t xml:space="preserve">Separate from the March action, though also related to cannula handling.</w:t>
      </w:r>
    </w:p>
    <w:p>
      <w:pPr>
        <w:pStyle w:val="Compact"/>
        <w:numPr>
          <w:ilvl w:val="0"/>
          <w:numId w:val="1007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7 million Pods</w:t>
      </w:r>
      <w:r>
        <w:t xml:space="preserve"> </w:t>
      </w:r>
      <w:r>
        <w:t xml:space="preserve">were in scope.</w:t>
      </w:r>
    </w:p>
    <w:p>
      <w:pPr>
        <w:pStyle w:val="Compact"/>
        <w:numPr>
          <w:ilvl w:val="0"/>
          <w:numId w:val="1007"/>
        </w:numPr>
      </w:pPr>
      <w:r>
        <w:t xml:space="preserve">Roughly 60% had already been consumed or expired.</w:t>
      </w:r>
    </w:p>
    <w:p>
      <w:pPr>
        <w:pStyle w:val="Compact"/>
        <w:numPr>
          <w:ilvl w:val="0"/>
          <w:numId w:val="1007"/>
        </w:numPr>
      </w:pPr>
      <w:r>
        <w:t xml:space="preserve">Expected 2026 cost of up to</w:t>
      </w:r>
      <w:r>
        <w:t xml:space="preserve"> </w:t>
      </w:r>
      <w:r>
        <w:rPr>
          <w:b/>
          <w:bCs/>
        </w:rPr>
        <w:t xml:space="preserve">$50 million</w:t>
      </w:r>
      <w:r>
        <w:t xml:space="preserve">, excluded from adjusted results.</w:t>
      </w:r>
    </w:p>
    <w:p>
      <w:pPr>
        <w:pStyle w:val="Compact"/>
        <w:numPr>
          <w:ilvl w:val="0"/>
          <w:numId w:val="1007"/>
        </w:numPr>
      </w:pPr>
      <w:r>
        <w:t xml:space="preserve">Management said it did not anticipate disruption to shipments, availability, new-customer starts, or 2026 guidance.</w:t>
      </w:r>
    </w:p>
    <w:p>
      <w:pPr>
        <w:pStyle w:val="FirstParagraph"/>
      </w:pPr>
      <w:r>
        <w:t xml:space="preserve">The May action occurred after Q1 and will therefore be a central Q2 issue. Investors need clarity on:</w:t>
      </w:r>
    </w:p>
    <w:p>
      <w:pPr>
        <w:pStyle w:val="Compact"/>
        <w:numPr>
          <w:ilvl w:val="0"/>
          <w:numId w:val="1008"/>
        </w:numPr>
      </w:pPr>
      <w:r>
        <w:t xml:space="preserve">The Q2 GAAP charge and remaining expected costs.</w:t>
      </w:r>
    </w:p>
    <w:p>
      <w:pPr>
        <w:pStyle w:val="Compact"/>
        <w:numPr>
          <w:ilvl w:val="0"/>
          <w:numId w:val="1008"/>
        </w:numPr>
      </w:pPr>
      <w:r>
        <w:t xml:space="preserve">Whether any additional lots or manufacturing processes are under review.</w:t>
      </w:r>
    </w:p>
    <w:p>
      <w:pPr>
        <w:pStyle w:val="Compact"/>
        <w:numPr>
          <w:ilvl w:val="0"/>
          <w:numId w:val="1008"/>
        </w:numPr>
      </w:pPr>
      <w:r>
        <w:t xml:space="preserve">Complaint and adverse-event trends.</w:t>
      </w:r>
    </w:p>
    <w:p>
      <w:pPr>
        <w:pStyle w:val="Compact"/>
        <w:numPr>
          <w:ilvl w:val="0"/>
          <w:numId w:val="1008"/>
        </w:numPr>
      </w:pPr>
      <w:r>
        <w:t xml:space="preserve">Shipment and inventory availability.</w:t>
      </w:r>
    </w:p>
    <w:p>
      <w:pPr>
        <w:pStyle w:val="Compact"/>
        <w:numPr>
          <w:ilvl w:val="0"/>
          <w:numId w:val="1008"/>
        </w:numPr>
      </w:pPr>
      <w:r>
        <w:t xml:space="preserve">Feedback from physicians and patients.</w:t>
      </w:r>
    </w:p>
    <w:p>
      <w:pPr>
        <w:pStyle w:val="Compact"/>
        <w:numPr>
          <w:ilvl w:val="0"/>
          <w:numId w:val="1008"/>
        </w:numPr>
      </w:pPr>
      <w:r>
        <w:t xml:space="preserve">Timing for automated inspection systems.</w:t>
      </w:r>
    </w:p>
    <w:p>
      <w:pPr>
        <w:pStyle w:val="Compact"/>
        <w:numPr>
          <w:ilvl w:val="0"/>
          <w:numId w:val="1008"/>
        </w:numPr>
      </w:pPr>
      <w:r>
        <w:t xml:space="preserve">Whether corrective actions are fully implemented and validated.</w:t>
      </w:r>
    </w:p>
    <w:p>
      <w:pPr>
        <w:pStyle w:val="FirstParagraph"/>
      </w:pPr>
      <w:r>
        <w:t xml:space="preserve">Management reported in June that physician discussion of the issue had been limited and that no commercial disruption was evident. Confirmation through Q2 operating data would be more persuasive.</w:t>
      </w:r>
    </w:p>
    <w:p>
      <w:pPr>
        <w:pStyle w:val="BodyText"/>
      </w:pPr>
      <w:r>
        <w:t xml:space="preserve">Adjusted numbers will remove these costs, but investors should not treat them as economically irrelevant. Repeated quality actions can affect regulatory risk, brand trust, manufacturing efficiency, and future margins.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product-and-commercial-catalysts"/>
    <w:p>
      <w:pPr>
        <w:pStyle w:val="Heading2"/>
      </w:pPr>
      <w:r>
        <w:t xml:space="preserve">Product and commercial catalysts</w:t>
      </w:r>
    </w:p>
    <w:bookmarkStart w:id="18" w:name="omnipod-5-enhancements"/>
    <w:p>
      <w:pPr>
        <w:pStyle w:val="Heading3"/>
      </w:pPr>
      <w:r>
        <w:t xml:space="preserve">Omnipod 5 enhancements</w:t>
      </w:r>
    </w:p>
    <w:p>
      <w:pPr>
        <w:pStyle w:val="FirstParagraph"/>
      </w:pPr>
      <w:r>
        <w:t xml:space="preserve">Insulet launched its most significant Omnipod 5 algorithm update since the product’s 2022 introduction. The update includes:</w:t>
      </w:r>
    </w:p>
    <w:p>
      <w:pPr>
        <w:pStyle w:val="Compact"/>
        <w:numPr>
          <w:ilvl w:val="0"/>
          <w:numId w:val="1009"/>
        </w:numPr>
      </w:pPr>
      <w:r>
        <w:t xml:space="preserve">A lower 100 mg/dL glucose target.</w:t>
      </w:r>
    </w:p>
    <w:p>
      <w:pPr>
        <w:pStyle w:val="Compact"/>
        <w:numPr>
          <w:ilvl w:val="0"/>
          <w:numId w:val="1009"/>
        </w:numPr>
      </w:pPr>
      <w:r>
        <w:t xml:space="preserve">Improved alarm handling.</w:t>
      </w:r>
    </w:p>
    <w:p>
      <w:pPr>
        <w:pStyle w:val="Compact"/>
        <w:numPr>
          <w:ilvl w:val="0"/>
          <w:numId w:val="1009"/>
        </w:numPr>
      </w:pPr>
      <w:r>
        <w:t xml:space="preserve">Fewer interruptions during extended high-glucose events.</w:t>
      </w:r>
    </w:p>
    <w:p>
      <w:pPr>
        <w:pStyle w:val="Compact"/>
        <w:numPr>
          <w:ilvl w:val="0"/>
          <w:numId w:val="1009"/>
        </w:numPr>
      </w:pPr>
      <w:r>
        <w:t xml:space="preserve">More time in automated mode.</w:t>
      </w:r>
    </w:p>
    <w:p>
      <w:pPr>
        <w:pStyle w:val="Compact"/>
        <w:numPr>
          <w:ilvl w:val="0"/>
          <w:numId w:val="1009"/>
        </w:numPr>
      </w:pPr>
      <w:r>
        <w:t xml:space="preserve">Integration with Abbott’s FreeStyle Libre 3 Plus sensor.</w:t>
      </w:r>
    </w:p>
    <w:p>
      <w:pPr>
        <w:pStyle w:val="FirstParagraph"/>
      </w:pPr>
      <w:r>
        <w:t xml:space="preserve">Libre 3 Plus opens Omnipod 5 to an estimated</w:t>
      </w:r>
      <w:r>
        <w:t xml:space="preserve"> </w:t>
      </w:r>
      <w:r>
        <w:rPr>
          <w:b/>
          <w:bCs/>
        </w:rPr>
        <w:t xml:space="preserve">450,000 U.S. Libre 3 Plus users</w:t>
      </w:r>
      <w:r>
        <w:t xml:space="preserve">. Management needs to explain whether the integration was fully available during Q2 and when a meaningful new-start contribution should appear.</w:t>
      </w:r>
    </w:p>
    <w:bookmarkEnd w:id="18"/>
    <w:bookmarkStart w:id="19" w:name="sales-force-expansion"/>
    <w:p>
      <w:pPr>
        <w:pStyle w:val="Heading3"/>
      </w:pPr>
      <w:r>
        <w:t xml:space="preserve">Sales-force expansion</w:t>
      </w:r>
    </w:p>
    <w:p>
      <w:pPr>
        <w:pStyle w:val="FirstParagraph"/>
      </w:pPr>
      <w:r>
        <w:t xml:space="preserve">Insulet expanded its U.S. sales force by approximately</w:t>
      </w:r>
      <w:r>
        <w:t xml:space="preserve"> </w:t>
      </w:r>
      <w:r>
        <w:rPr>
          <w:b/>
          <w:bCs/>
        </w:rPr>
        <w:t xml:space="preserve">25%</w:t>
      </w:r>
      <w:r>
        <w:t xml:space="preserve">, increasing coverage and allowing more frequent physician engagement. Because hiring, training, and territory development take time, management previously indicated that the full benefit should be more visible in 2027.</w:t>
      </w:r>
    </w:p>
    <w:p>
      <w:pPr>
        <w:pStyle w:val="BodyText"/>
      </w:pPr>
      <w:r>
        <w:t xml:space="preserve">For Q2, investors should look for early indicators such as:</w:t>
      </w:r>
    </w:p>
    <w:p>
      <w:pPr>
        <w:pStyle w:val="Compact"/>
        <w:numPr>
          <w:ilvl w:val="0"/>
          <w:numId w:val="1010"/>
        </w:numPr>
      </w:pPr>
      <w:r>
        <w:t xml:space="preserve">Higher prescriber activation.</w:t>
      </w:r>
    </w:p>
    <w:p>
      <w:pPr>
        <w:pStyle w:val="Compact"/>
        <w:numPr>
          <w:ilvl w:val="0"/>
          <w:numId w:val="1010"/>
        </w:numPr>
      </w:pPr>
      <w:r>
        <w:t xml:space="preserve">Improved reach into primary care.</w:t>
      </w:r>
    </w:p>
    <w:p>
      <w:pPr>
        <w:pStyle w:val="Compact"/>
        <w:numPr>
          <w:ilvl w:val="0"/>
          <w:numId w:val="1010"/>
        </w:numPr>
      </w:pPr>
      <w:r>
        <w:t xml:space="preserve">Increased peer-to-peer education.</w:t>
      </w:r>
    </w:p>
    <w:p>
      <w:pPr>
        <w:pStyle w:val="Compact"/>
        <w:numPr>
          <w:ilvl w:val="0"/>
          <w:numId w:val="1010"/>
        </w:numPr>
      </w:pPr>
      <w:r>
        <w:t xml:space="preserve">Better conversion of targeted physicians.</w:t>
      </w:r>
    </w:p>
    <w:p>
      <w:pPr>
        <w:pStyle w:val="Compact"/>
        <w:numPr>
          <w:ilvl w:val="0"/>
          <w:numId w:val="1010"/>
        </w:numPr>
      </w:pPr>
      <w:r>
        <w:t xml:space="preserve">No unusual increase in customer-acquisition costs.</w:t>
      </w:r>
    </w:p>
    <w:bookmarkEnd w:id="19"/>
    <w:bookmarkStart w:id="20" w:name="omnipod-6"/>
    <w:p>
      <w:pPr>
        <w:pStyle w:val="Heading3"/>
      </w:pPr>
      <w:r>
        <w:t xml:space="preserve">Omnipod 6</w:t>
      </w:r>
    </w:p>
    <w:p>
      <w:pPr>
        <w:pStyle w:val="FirstParagraph"/>
      </w:pPr>
      <w:r>
        <w:t xml:space="preserve">The STRIVE study supported Omnipod 6’s safety and next-generation algorithm performance. Among well-controlled Omnipod 5 users, the system produced:</w:t>
      </w:r>
    </w:p>
    <w:p>
      <w:pPr>
        <w:pStyle w:val="Compact"/>
        <w:numPr>
          <w:ilvl w:val="0"/>
          <w:numId w:val="1011"/>
        </w:numPr>
      </w:pPr>
      <w:r>
        <w:t xml:space="preserve">Up to approximately four points of additional time in range.</w:t>
      </w:r>
    </w:p>
    <w:p>
      <w:pPr>
        <w:pStyle w:val="Compact"/>
        <w:numPr>
          <w:ilvl w:val="0"/>
          <w:numId w:val="1011"/>
        </w:numPr>
      </w:pPr>
      <w:r>
        <w:t xml:space="preserve">No meaningful increase in hypoglycemia.</w:t>
      </w:r>
    </w:p>
    <w:p>
      <w:pPr>
        <w:pStyle w:val="Compact"/>
        <w:numPr>
          <w:ilvl w:val="0"/>
          <w:numId w:val="1011"/>
        </w:numPr>
      </w:pPr>
      <w:r>
        <w:t xml:space="preserve">A roughly 40% reduction in boluses during a bolus-optional phase while maintaining similar outcomes.</w:t>
      </w:r>
    </w:p>
    <w:p>
      <w:pPr>
        <w:pStyle w:val="FirstParagraph"/>
      </w:pPr>
      <w:r>
        <w:t xml:space="preserve">Omnipod 6 remains planned for 2027. It will also feature a more flexible pod-to-CGM connection and over-the-air pod configuration, potentially simplifying inventory and manufacturing.</w:t>
      </w:r>
    </w:p>
    <w:bookmarkEnd w:id="20"/>
    <w:bookmarkStart w:id="21" w:name="fully-closed-loop-for-type-2"/>
    <w:p>
      <w:pPr>
        <w:pStyle w:val="Heading3"/>
      </w:pPr>
      <w:r>
        <w:t xml:space="preserve">Fully closed loop for type 2</w:t>
      </w:r>
    </w:p>
    <w:p>
      <w:pPr>
        <w:pStyle w:val="FirstParagraph"/>
      </w:pPr>
      <w:r>
        <w:t xml:space="preserve">The EVOLVE pivotal trial is underway, with a planned 510(k) submission in 2027 and commercial launch targeted for 2028. The investigational system is designed to require no meal boluses and no physician-entered settings—an important potential differentiator for primary-care adoption.</w:t>
      </w:r>
    </w:p>
    <w:p>
      <w:pPr>
        <w:pStyle w:val="BodyText"/>
      </w:pPr>
      <w:r>
        <w:t xml:space="preserve">This pipeline is not likely to drive the Q2 numbers, but maintaining the timelines is important to the long-term growth case.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margins-and-earnings-quality"/>
    <w:p>
      <w:pPr>
        <w:pStyle w:val="Heading2"/>
      </w:pPr>
      <w:r>
        <w:t xml:space="preserve">Margins and earnings quality</w:t>
      </w:r>
    </w:p>
    <w:p>
      <w:pPr>
        <w:pStyle w:val="FirstParagraph"/>
      </w:pPr>
      <w:r>
        <w:t xml:space="preserve">Q1 adjusted operating margin expanded 110 basis points to 17.5%, despite elevated R&amp;D and commercial investment. Adjusted gross margin was 71%, but was reduced by more than 150 basis points of excess and obsolete inventory costs as Insulet transitioned to new pod configurations.</w:t>
      </w:r>
    </w:p>
    <w:p>
      <w:pPr>
        <w:pStyle w:val="BodyText"/>
      </w:pPr>
      <w:r>
        <w:t xml:space="preserve">Current full-year targets are: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100 bps of expansion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18.6%</w:t>
            </w:r>
            <w:r>
              <w:t xml:space="preserve">, versus 17.6% in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More than 25%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adjusted EPS floor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More than approximately</w:t>
            </w:r>
            <w:r>
              <w:t xml:space="preserve"> </w:t>
            </w:r>
            <w:r>
              <w:rPr>
                <w:b/>
                <w:bCs/>
              </w:rPr>
              <w:t xml:space="preserve">$6.21</w:t>
            </w:r>
            <w:r>
              <w:t xml:space="preserve">, versus $4.97 in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flat with 2025</w:t>
            </w:r>
          </w:p>
        </w:tc>
      </w:tr>
    </w:tbl>
    <w:p>
      <w:pPr>
        <w:pStyle w:val="BodyText"/>
      </w:pPr>
      <w:r>
        <w:t xml:space="preserve">Q2 margin considerations include:</w:t>
      </w:r>
    </w:p>
    <w:p>
      <w:pPr>
        <w:pStyle w:val="BodyText"/>
      </w:pPr>
      <w:r>
        <w:rPr>
          <w:b/>
          <w:bCs/>
        </w:rPr>
        <w:t xml:space="preserve">Potential positives</w:t>
      </w:r>
    </w:p>
    <w:p>
      <w:pPr>
        <w:pStyle w:val="Compact"/>
        <w:numPr>
          <w:ilvl w:val="0"/>
          <w:numId w:val="1012"/>
        </w:numPr>
      </w:pPr>
      <w:r>
        <w:t xml:space="preserve">Strong revenue growth and SG&amp;A leverage.</w:t>
      </w:r>
    </w:p>
    <w:p>
      <w:pPr>
        <w:pStyle w:val="Compact"/>
        <w:numPr>
          <w:ilvl w:val="0"/>
          <w:numId w:val="1012"/>
        </w:numPr>
      </w:pPr>
      <w:r>
        <w:t xml:space="preserve">Manufacturing productivity.</w:t>
      </w:r>
    </w:p>
    <w:p>
      <w:pPr>
        <w:pStyle w:val="Compact"/>
        <w:numPr>
          <w:ilvl w:val="0"/>
          <w:numId w:val="1012"/>
        </w:numPr>
      </w:pPr>
      <w:r>
        <w:t xml:space="preserve">Positive U.S. pricing.</w:t>
      </w:r>
    </w:p>
    <w:p>
      <w:pPr>
        <w:pStyle w:val="Compact"/>
        <w:numPr>
          <w:ilvl w:val="0"/>
          <w:numId w:val="1012"/>
        </w:numPr>
      </w:pPr>
      <w:r>
        <w:t xml:space="preserve">Lower transition-related inventory charges than Q1.</w:t>
      </w:r>
    </w:p>
    <w:p>
      <w:pPr>
        <w:pStyle w:val="FirstParagraph"/>
      </w:pPr>
      <w:r>
        <w:rPr>
          <w:b/>
          <w:bCs/>
        </w:rPr>
        <w:t xml:space="preserve">Potential offsets</w:t>
      </w:r>
    </w:p>
    <w:p>
      <w:pPr>
        <w:pStyle w:val="Compact"/>
        <w:numPr>
          <w:ilvl w:val="0"/>
          <w:numId w:val="1013"/>
        </w:numPr>
      </w:pPr>
      <w:r>
        <w:t xml:space="preserve">The sales-force expansion.</w:t>
      </w:r>
    </w:p>
    <w:p>
      <w:pPr>
        <w:pStyle w:val="Compact"/>
        <w:numPr>
          <w:ilvl w:val="0"/>
          <w:numId w:val="1013"/>
        </w:numPr>
      </w:pPr>
      <w:r>
        <w:t xml:space="preserve">Higher R&amp;D spending for Omnipod 6 and fully closed loop.</w:t>
      </w:r>
    </w:p>
    <w:p>
      <w:pPr>
        <w:pStyle w:val="Compact"/>
        <w:numPr>
          <w:ilvl w:val="0"/>
          <w:numId w:val="1013"/>
        </w:numPr>
      </w:pPr>
      <w:r>
        <w:t xml:space="preserve">Raw-material and shipping costs.</w:t>
      </w:r>
    </w:p>
    <w:p>
      <w:pPr>
        <w:pStyle w:val="Compact"/>
        <w:numPr>
          <w:ilvl w:val="0"/>
          <w:numId w:val="1013"/>
        </w:numPr>
      </w:pPr>
      <w:r>
        <w:t xml:space="preserve">Quality-control and inspection expenses.</w:t>
      </w:r>
    </w:p>
    <w:p>
      <w:pPr>
        <w:pStyle w:val="Compact"/>
        <w:numPr>
          <w:ilvl w:val="0"/>
          <w:numId w:val="1013"/>
        </w:numPr>
      </w:pPr>
      <w:r>
        <w:t xml:space="preserve">Lower interest income following the Q1 share repurchase.</w:t>
      </w:r>
    </w:p>
    <w:p>
      <w:pPr>
        <w:pStyle w:val="FirstParagraph"/>
      </w:pPr>
      <w:r>
        <w:t xml:space="preserve">At $166.85, PODD trades at less than 27 times the minimum EPS implied by management’s “greater than 25%” growth target. That is not a consensus valuation, but it illustrates how substantially the stock has derated. Maintaining the margin and EPS outlook is therefore likely more important than the precise Q2 adjusted EPS figure.</w:t>
      </w:r>
    </w:p>
    <w:p>
      <w:r>
        <w:pict>
          <v:rect style="width:0;height:1.5pt" o:hralign="center" o:hrstd="t" o:hr="t"/>
        </w:pict>
      </w:r>
    </w:p>
    <w:bookmarkEnd w:id="23"/>
    <w:bookmarkStart w:id="24" w:name="full-year-guidance-is-the-real-catalyst"/>
    <w:p>
      <w:pPr>
        <w:pStyle w:val="Heading2"/>
      </w:pPr>
      <w:r>
        <w:t xml:space="preserve">Full-year guidance is the real catalyst</w:t>
      </w:r>
    </w:p>
    <w:p>
      <w:pPr>
        <w:pStyle w:val="FirstParagraph"/>
      </w:pPr>
      <w:r>
        <w:t xml:space="preserve">After Q1, Insulet raised total-company constant-currency revenue growth guidance by one percentage point: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FY2026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Omnipod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20%–22%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Omnipod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26%–28%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Omnipod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22%–24%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company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21%–23%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total-company growth including FX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22%–24%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operating-margin expansion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100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More than 25%</w:t>
            </w:r>
          </w:p>
        </w:tc>
      </w:tr>
    </w:tbl>
    <w:p>
      <w:pPr>
        <w:pStyle w:val="BodyText"/>
      </w:pPr>
      <w:r>
        <w:t xml:space="preserve">At the midpoint, this implies total 2026 revenue of roughly</w:t>
      </w:r>
      <w:r>
        <w:t xml:space="preserve"> </w:t>
      </w:r>
      <w:r>
        <w:rPr>
          <w:b/>
          <w:bCs/>
        </w:rPr>
        <w:t xml:space="preserve">$3.33 billion</w:t>
      </w:r>
      <w:r>
        <w:t xml:space="preserve">.</w:t>
      </w:r>
    </w:p>
    <w:p>
      <w:pPr>
        <w:pStyle w:val="BodyText"/>
      </w:pPr>
      <w:r>
        <w:t xml:space="preserve">Management acknowledged that the existing outlook implies growth moderating into the high teens in the second half. Investors have questioned how that exit rate reconciles with the company’s long-term target of approximately 20% annual growth.</w:t>
      </w:r>
    </w:p>
    <w:p>
      <w:pPr>
        <w:pStyle w:val="BodyText"/>
      </w:pPr>
      <w:r>
        <w:t xml:space="preserve">A guidance raise would be positive but is not essential. Given the May correction and tougher second-half comparisons, a credible reiteration accompanied by strong customer metrics could be enough. Conversely, a reduction in U.S. or margin guidance would reinforce concerns that the Q1 strength was not sustainable.</w:t>
      </w:r>
    </w:p>
    <w:p>
      <w:r>
        <w:pict>
          <v:rect style="width:0;height:1.5pt" o:hralign="center" o:hrstd="t" o:hr="t"/>
        </w:pict>
      </w:r>
    </w:p>
    <w:bookmarkEnd w:id="24"/>
    <w:bookmarkStart w:id="28" w:name="scenario-framework"/>
    <w:p>
      <w:pPr>
        <w:pStyle w:val="Heading2"/>
      </w:pPr>
      <w:r>
        <w:t xml:space="preserve">Scenario framework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4"/>
        </w:numPr>
      </w:pPr>
      <w:r>
        <w:t xml:space="preserve">Total revenue exceeds approximately $800 million.</w:t>
      </w:r>
    </w:p>
    <w:p>
      <w:pPr>
        <w:pStyle w:val="Compact"/>
        <w:numPr>
          <w:ilvl w:val="0"/>
          <w:numId w:val="1014"/>
        </w:numPr>
      </w:pPr>
      <w:r>
        <w:t xml:space="preserve">U.S. growth reaches the high end despite the $10 million timing reversal.</w:t>
      </w:r>
    </w:p>
    <w:p>
      <w:pPr>
        <w:pStyle w:val="Compact"/>
        <w:numPr>
          <w:ilvl w:val="0"/>
          <w:numId w:val="1014"/>
        </w:numPr>
      </w:pPr>
      <w:r>
        <w:t xml:space="preserve">Underlying U.S. growth remains above 22%.</w:t>
      </w:r>
    </w:p>
    <w:p>
      <w:pPr>
        <w:pStyle w:val="Compact"/>
        <w:numPr>
          <w:ilvl w:val="0"/>
          <w:numId w:val="1014"/>
        </w:numPr>
      </w:pPr>
      <w:r>
        <w:t xml:space="preserve">International growth stays above 30% constant currency.</w:t>
      </w:r>
    </w:p>
    <w:p>
      <w:pPr>
        <w:pStyle w:val="Compact"/>
        <w:numPr>
          <w:ilvl w:val="0"/>
          <w:numId w:val="1014"/>
        </w:numPr>
      </w:pPr>
      <w:r>
        <w:t xml:space="preserve">New-customer starts accelerate, with continued type 2 strength.</w:t>
      </w:r>
    </w:p>
    <w:p>
      <w:pPr>
        <w:pStyle w:val="Compact"/>
        <w:numPr>
          <w:ilvl w:val="0"/>
          <w:numId w:val="1014"/>
        </w:numPr>
      </w:pPr>
      <w:r>
        <w:t xml:space="preserve">No shipment, prescription, or retention effect from the corrections.</w:t>
      </w:r>
    </w:p>
    <w:p>
      <w:pPr>
        <w:pStyle w:val="Compact"/>
        <w:numPr>
          <w:ilvl w:val="0"/>
          <w:numId w:val="1014"/>
        </w:numPr>
      </w:pPr>
      <w:r>
        <w:t xml:space="preserve">Full-year revenue or EPS guidance is raised.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5"/>
        </w:numPr>
      </w:pPr>
      <w:r>
        <w:t xml:space="preserve">Revenue lands near the high end of the</w:t>
      </w:r>
      <w:r>
        <w:t xml:space="preserve"> </w:t>
      </w:r>
      <m:oMath>
        <m:r>
          <m:t>785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798 million implied range.</w:t>
      </w:r>
    </w:p>
    <w:p>
      <w:pPr>
        <w:pStyle w:val="Compact"/>
        <w:numPr>
          <w:ilvl w:val="0"/>
          <w:numId w:val="1015"/>
        </w:numPr>
      </w:pPr>
      <w:r>
        <w:t xml:space="preserve">U.S. and international results are within guidance.</w:t>
      </w:r>
    </w:p>
    <w:p>
      <w:pPr>
        <w:pStyle w:val="Compact"/>
        <w:numPr>
          <w:ilvl w:val="0"/>
          <w:numId w:val="1015"/>
        </w:numPr>
      </w:pPr>
      <w:r>
        <w:t xml:space="preserve">Quality-related charges are elevated but contained.</w:t>
      </w:r>
    </w:p>
    <w:p>
      <w:pPr>
        <w:pStyle w:val="Compact"/>
        <w:numPr>
          <w:ilvl w:val="0"/>
          <w:numId w:val="1015"/>
        </w:numPr>
      </w:pPr>
      <w:r>
        <w:t xml:space="preserve">Management reiterates the full-year outlook.</w:t>
      </w:r>
    </w:p>
    <w:p>
      <w:pPr>
        <w:pStyle w:val="Compact"/>
        <w:numPr>
          <w:ilvl w:val="0"/>
          <w:numId w:val="1015"/>
        </w:numPr>
      </w:pPr>
      <w:r>
        <w:t xml:space="preserve">Commentary supports better product and sales-force contribution in the second half and 2027.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6"/>
        </w:numPr>
      </w:pPr>
      <w:r>
        <w:t xml:space="preserve">U.S. growth misses guidance after adjusting for order timing.</w:t>
      </w:r>
    </w:p>
    <w:p>
      <w:pPr>
        <w:pStyle w:val="Compact"/>
        <w:numPr>
          <w:ilvl w:val="0"/>
          <w:numId w:val="1016"/>
        </w:numPr>
      </w:pPr>
      <w:r>
        <w:t xml:space="preserve">New-customer starts or type 2 retention weaken.</w:t>
      </w:r>
    </w:p>
    <w:p>
      <w:pPr>
        <w:pStyle w:val="Compact"/>
        <w:numPr>
          <w:ilvl w:val="0"/>
          <w:numId w:val="1016"/>
        </w:numPr>
      </w:pPr>
      <w:r>
        <w:t xml:space="preserve">International growth decelerates more sharply than expected.</w:t>
      </w:r>
    </w:p>
    <w:p>
      <w:pPr>
        <w:pStyle w:val="Compact"/>
        <w:numPr>
          <w:ilvl w:val="0"/>
          <w:numId w:val="1016"/>
        </w:numPr>
      </w:pPr>
      <w:r>
        <w:t xml:space="preserve">Additional quality problems emerge or shipments are affected.</w:t>
      </w:r>
    </w:p>
    <w:p>
      <w:pPr>
        <w:pStyle w:val="Compact"/>
        <w:numPr>
          <w:ilvl w:val="0"/>
          <w:numId w:val="1016"/>
        </w:numPr>
      </w:pPr>
      <w:r>
        <w:t xml:space="preserve">Full-year revenue, operating-margin, or EPS guidance is reduced.</w:t>
      </w:r>
    </w:p>
    <w:p>
      <w:pPr>
        <w:pStyle w:val="Compact"/>
        <w:numPr>
          <w:ilvl w:val="0"/>
          <w:numId w:val="1016"/>
        </w:numPr>
      </w:pPr>
      <w:r>
        <w:t xml:space="preserve">Management becomes less confident in sustaining 20% long-term growth.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numerical hurdle appears manageable: approximately</w:t>
      </w:r>
      <w:r>
        <w:t xml:space="preserve"> </w:t>
      </w:r>
      <m:oMath>
        <m:r>
          <m:t>785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798 million of Q2 revenue</w:t>
      </w:r>
      <w:r>
        <w:t xml:space="preserve">, with a reasonable chance of upside if the demand trends discussed in May persisted. But this is primarily a</w:t>
      </w:r>
      <w:r>
        <w:t xml:space="preserve"> </w:t>
      </w:r>
      <w:r>
        <w:rPr>
          <w:b/>
          <w:bCs/>
        </w:rPr>
        <w:t xml:space="preserve">quality, durability, and guidance</w:t>
      </w:r>
      <w:r>
        <w:t xml:space="preserve"> </w:t>
      </w:r>
      <w:r>
        <w:t xml:space="preserve">quarter rather than a conventional beat-or-miss event.</w:t>
      </w:r>
    </w:p>
    <w:p>
      <w:pPr>
        <w:pStyle w:val="BodyText"/>
      </w:pPr>
      <w:r>
        <w:t xml:space="preserve">The most constructive report would combine:</w:t>
      </w:r>
    </w:p>
    <w:p>
      <w:pPr>
        <w:pStyle w:val="Compact"/>
        <w:numPr>
          <w:ilvl w:val="0"/>
          <w:numId w:val="1017"/>
        </w:numPr>
      </w:pPr>
      <w:r>
        <w:t xml:space="preserve">A high-end or above-guidance revenue result.</w:t>
      </w:r>
    </w:p>
    <w:p>
      <w:pPr>
        <w:pStyle w:val="Compact"/>
        <w:numPr>
          <w:ilvl w:val="0"/>
          <w:numId w:val="1017"/>
        </w:numPr>
      </w:pPr>
      <w:r>
        <w:t xml:space="preserve">Healthy sequential new-customer starts.</w:t>
      </w:r>
    </w:p>
    <w:p>
      <w:pPr>
        <w:pStyle w:val="Compact"/>
        <w:numPr>
          <w:ilvl w:val="0"/>
          <w:numId w:val="1017"/>
        </w:numPr>
      </w:pPr>
      <w:r>
        <w:t xml:space="preserve">No commercial impact from the two medical-device corrections.</w:t>
      </w:r>
    </w:p>
    <w:p>
      <w:pPr>
        <w:pStyle w:val="Compact"/>
        <w:numPr>
          <w:ilvl w:val="0"/>
          <w:numId w:val="1017"/>
        </w:numPr>
      </w:pPr>
      <w:r>
        <w:t xml:space="preserve">Stable type 2 retention.</w:t>
      </w:r>
    </w:p>
    <w:p>
      <w:pPr>
        <w:pStyle w:val="Compact"/>
        <w:numPr>
          <w:ilvl w:val="0"/>
          <w:numId w:val="1017"/>
        </w:numPr>
      </w:pPr>
      <w:r>
        <w:t xml:space="preserve">Reaffirmed or higher full-year growth, margin, and EPS expectations.</w:t>
      </w:r>
    </w:p>
    <w:p>
      <w:pPr>
        <w:pStyle w:val="FirstParagraph"/>
      </w:pPr>
      <w:r>
        <w:t xml:space="preserve">Given the stock’s roughly 41% year-to-date decline, credible evidence that the core Omnipod franchise remains a durable 20% grower could drive a meaningful re-rating. Another quality surprise or any weakening in U.S. demand would likely outweigh an otherwise acceptable adjusted earnings result.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2026-08-05T00:09:17Z</dcterms:created>
  <dcterms:modified xsi:type="dcterms:W3CDTF">2026-08-05T00:09:17Z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