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ppl-earnings-predictions--2026-08-07"/>
    <w:p>
      <w:pPr>
        <w:pStyle w:val="Heading1"/>
      </w:pPr>
      <w:r>
        <w:t xml:space="preserve">PPL Earnings Predictions — 2026-08-07</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PPL</w:t>
            </w:r>
          </w:p>
        </w:tc>
        <w:tc>
          <w:tcPr/>
          <w:p>
            <w:pPr>
              <w:pStyle w:val="Compact"/>
            </w:pPr>
            <w:r>
              <w:t xml:space="preserve">Report</w:t>
            </w:r>
          </w:p>
        </w:tc>
        <w:tc>
          <w:tcPr/>
          <w:p>
            <w:pPr>
              <w:pStyle w:val="Compact"/>
            </w:pPr>
            <w:r>
              <w:t xml:space="preserve">Q2 2026 Ongoing EPS</w:t>
            </w:r>
          </w:p>
        </w:tc>
        <w:tc>
          <w:tcPr/>
          <w:p>
            <w:pPr>
              <w:pStyle w:val="Compact"/>
            </w:pPr>
            <w:r>
              <w:t xml:space="preserve">IN-LINE</w:t>
            </w:r>
          </w:p>
        </w:tc>
        <w:tc>
          <w:tcPr/>
          <w:p>
            <w:pPr>
              <w:pStyle w:val="Compact"/>
            </w:pPr>
            <w:r>
              <w:t xml:space="preserve">pred ~$0.35 vs. cons $0.35</w:t>
            </w:r>
          </w:p>
        </w:tc>
        <w:tc>
          <w:tcPr/>
          <w:p>
            <w:pPr>
              <w:pStyle w:val="Compact"/>
            </w:pPr>
            <w:r>
              <w:t xml:space="preserve">MEDIUM</w:t>
            </w:r>
          </w:p>
        </w:tc>
      </w:tr>
      <w:tr>
        <w:tc>
          <w:tcPr/>
          <w:p>
            <w:pPr>
              <w:pStyle w:val="Compact"/>
            </w:pPr>
            <w:r>
              <w:t xml:space="preserve">PPL</w:t>
            </w:r>
          </w:p>
        </w:tc>
        <w:tc>
          <w:tcPr/>
          <w:p>
            <w:pPr>
              <w:pStyle w:val="Compact"/>
            </w:pPr>
            <w:r>
              <w:t xml:space="preserve">Report</w:t>
            </w:r>
          </w:p>
        </w:tc>
        <w:tc>
          <w:tcPr/>
          <w:p>
            <w:pPr>
              <w:pStyle w:val="Compact"/>
            </w:pPr>
            <w:r>
              <w:t xml:space="preserve">Kentucky segment ongoing EPS contribution</w:t>
            </w:r>
          </w:p>
        </w:tc>
        <w:tc>
          <w:tcPr/>
          <w:p>
            <w:pPr>
              <w:pStyle w:val="Compact"/>
            </w:pPr>
            <w:r>
              <w:t xml:space="preserve">BEAT</w:t>
            </w:r>
          </w:p>
        </w:tc>
        <w:tc>
          <w:tcPr/>
          <w:p>
            <w:pPr>
              <w:pStyle w:val="Compact"/>
            </w:pPr>
            <w:r>
              <w:t xml:space="preserve">pred ~$0.14 vs. cons $0.13</w:t>
            </w:r>
          </w:p>
        </w:tc>
        <w:tc>
          <w:tcPr/>
          <w:p>
            <w:pPr>
              <w:pStyle w:val="Compact"/>
            </w:pPr>
            <w:r>
              <w:t xml:space="preserve">MEDIUM</w:t>
            </w:r>
          </w:p>
        </w:tc>
      </w:tr>
      <w:tr>
        <w:tc>
          <w:tcPr/>
          <w:p>
            <w:pPr>
              <w:pStyle w:val="Compact"/>
            </w:pPr>
            <w:r>
              <w:t xml:space="preserve">PPL</w:t>
            </w:r>
          </w:p>
        </w:tc>
        <w:tc>
          <w:tcPr/>
          <w:p>
            <w:pPr>
              <w:pStyle w:val="Compact"/>
            </w:pPr>
            <w:r>
              <w:t xml:space="preserve">Report</w:t>
            </w:r>
          </w:p>
        </w:tc>
        <w:tc>
          <w:tcPr/>
          <w:p>
            <w:pPr>
              <w:pStyle w:val="Compact"/>
            </w:pPr>
            <w:r>
              <w:t xml:space="preserve">Pennsylvania segment ongoing EPS contribution</w:t>
            </w:r>
          </w:p>
        </w:tc>
        <w:tc>
          <w:tcPr/>
          <w:p>
            <w:pPr>
              <w:pStyle w:val="Compact"/>
            </w:pPr>
            <w:r>
              <w:t xml:space="preserve">IN-LINE</w:t>
            </w:r>
          </w:p>
        </w:tc>
        <w:tc>
          <w:tcPr/>
          <w:p>
            <w:pPr>
              <w:pStyle w:val="Compact"/>
            </w:pPr>
            <w:r>
              <w:t xml:space="preserve">pred ~$0.11 vs. cons $0.11</w:t>
            </w:r>
          </w:p>
        </w:tc>
        <w:tc>
          <w:tcPr/>
          <w:p>
            <w:pPr>
              <w:pStyle w:val="Compact"/>
            </w:pPr>
            <w:r>
              <w:t xml:space="preserve">MEDIUM</w:t>
            </w:r>
          </w:p>
        </w:tc>
      </w:tr>
      <w:tr>
        <w:tc>
          <w:tcPr/>
          <w:p>
            <w:pPr>
              <w:pStyle w:val="Compact"/>
            </w:pPr>
            <w:r>
              <w:t xml:space="preserve">PPL</w:t>
            </w:r>
          </w:p>
        </w:tc>
        <w:tc>
          <w:tcPr/>
          <w:p>
            <w:pPr>
              <w:pStyle w:val="Compact"/>
            </w:pPr>
            <w:r>
              <w:t xml:space="preserve">Guide</w:t>
            </w:r>
          </w:p>
        </w:tc>
        <w:tc>
          <w:tcPr/>
          <w:p>
            <w:pPr>
              <w:pStyle w:val="Compact"/>
            </w:pPr>
            <w:r>
              <w:t xml:space="preserve">FY2026 Ongoing EPS guidance (reaffirm midpoint)</w:t>
            </w:r>
          </w:p>
        </w:tc>
        <w:tc>
          <w:tcPr/>
          <w:p>
            <w:pPr>
              <w:pStyle w:val="Compact"/>
            </w:pPr>
            <w:r>
              <w:t xml:space="preserve">UNCHANGED</w:t>
            </w:r>
          </w:p>
        </w:tc>
        <w:tc>
          <w:tcPr/>
          <w:p>
            <w:pPr>
              <w:pStyle w:val="Compact"/>
            </w:pPr>
            <w:r>
              <w:t xml:space="preserve">guide ~$1.94 vs. cons $1.95 (FY2026)</w:t>
            </w:r>
          </w:p>
        </w:tc>
        <w:tc>
          <w:tcPr/>
          <w:p>
            <w:pPr>
              <w:pStyle w:val="Compact"/>
            </w:pPr>
            <w:r>
              <w:t xml:space="preserve">HIGH</w:t>
            </w:r>
          </w:p>
        </w:tc>
      </w:tr>
      <w:tr>
        <w:tc>
          <w:tcPr/>
          <w:p>
            <w:pPr>
              <w:pStyle w:val="Compact"/>
            </w:pPr>
            <w:r>
              <w:t xml:space="preserve">PPL</w:t>
            </w:r>
          </w:p>
        </w:tc>
        <w:tc>
          <w:tcPr/>
          <w:p>
            <w:pPr>
              <w:pStyle w:val="Compact"/>
            </w:pPr>
            <w:r>
              <w:t xml:space="preserve">Guide</w:t>
            </w:r>
          </w:p>
        </w:tc>
        <w:tc>
          <w:tcPr/>
          <w:p>
            <w:pPr>
              <w:pStyle w:val="Compact"/>
            </w:pPr>
            <w:r>
              <w:t xml:space="preserve">2026-2029 Capital Plan (total capex)</w:t>
            </w:r>
          </w:p>
        </w:tc>
        <w:tc>
          <w:tcPr/>
          <w:p>
            <w:pPr>
              <w:pStyle w:val="Compact"/>
            </w:pPr>
            <w:r>
              <w:t xml:space="preserve">UNCHANGED</w:t>
            </w:r>
          </w:p>
        </w:tc>
        <w:tc>
          <w:tcPr/>
          <w:p>
            <w:pPr>
              <w:pStyle w:val="Compact"/>
            </w:pPr>
            <w:r>
              <w:t xml:space="preserve">guide ~$23B vs. cons $23B (2026-2029 plan)</w:t>
            </w:r>
          </w:p>
        </w:tc>
        <w:tc>
          <w:tcPr/>
          <w:p>
            <w:pPr>
              <w:pStyle w:val="Compact"/>
            </w:pPr>
            <w:r>
              <w:t xml:space="preserve">MEDIUM</w:t>
            </w:r>
          </w:p>
        </w:tc>
      </w:tr>
      <w:tr>
        <w:tc>
          <w:tcPr/>
          <w:p>
            <w:pPr>
              <w:pStyle w:val="Compact"/>
            </w:pPr>
            <w:r>
              <w:t xml:space="preserve">PPL</w:t>
            </w:r>
          </w:p>
        </w:tc>
        <w:tc>
          <w:tcPr/>
          <w:p>
            <w:pPr>
              <w:pStyle w:val="Compact"/>
            </w:pPr>
            <w:r>
              <w:t xml:space="preserve">Guide</w:t>
            </w:r>
          </w:p>
        </w:tc>
        <w:tc>
          <w:tcPr/>
          <w:p>
            <w:pPr>
              <w:pStyle w:val="Compact"/>
            </w:pPr>
            <w:r>
              <w:t xml:space="preserve">PA data-center advanced-stage pipeline (GW)</w:t>
            </w:r>
          </w:p>
        </w:tc>
        <w:tc>
          <w:tcPr/>
          <w:p>
            <w:pPr>
              <w:pStyle w:val="Compact"/>
            </w:pPr>
            <w:r>
              <w:t xml:space="preserve">BETTER</w:t>
            </w:r>
          </w:p>
        </w:tc>
        <w:tc>
          <w:tcPr/>
          <w:p>
            <w:pPr>
              <w:pStyle w:val="Compact"/>
            </w:pPr>
            <w:r>
              <w:t xml:space="preserve">guide ~30GW vs. cons ~29GW (Q2 2026 update)</w:t>
            </w:r>
          </w:p>
        </w:tc>
        <w:tc>
          <w:tcPr/>
          <w:p>
            <w:pPr>
              <w:pStyle w:val="Compact"/>
            </w:pPr>
            <w:r>
              <w:t xml:space="preserve">LOW</w:t>
            </w:r>
          </w:p>
        </w:tc>
      </w:tr>
      <w:tr>
        <w:tc>
          <w:tcPr/>
          <w:p>
            <w:pPr>
              <w:pStyle w:val="Compact"/>
            </w:pPr>
            <w:r>
              <w:t xml:space="preserve">PPL</w:t>
            </w:r>
          </w:p>
        </w:tc>
        <w:tc>
          <w:tcPr/>
          <w:p>
            <w:pPr>
              <w:pStyle w:val="Compact"/>
            </w:pPr>
            <w:r>
              <w:t xml:space="preserve">Return</w:t>
            </w:r>
          </w:p>
        </w:tc>
        <w:tc>
          <w:tcPr/>
          <w:p>
            <w:pPr>
              <w:pStyle w:val="Compact"/>
            </w:pPr>
            <w:r>
              <w:t xml:space="preserve">Day-1 residual (stock − beta × S&amp;P 500)</w:t>
            </w:r>
          </w:p>
        </w:tc>
        <w:tc>
          <w:tcPr/>
          <w:p>
            <w:pPr>
              <w:pStyle w:val="Compact"/>
            </w:pPr>
            <w:r>
              <w:t xml:space="preserve">-0.2%</w:t>
            </w:r>
          </w:p>
        </w:tc>
        <w:tc>
          <w:tcPr/>
          <w:p>
            <w:pPr>
              <w:pStyle w:val="Compact"/>
            </w:pPr>
            <w:r>
              <w:t xml:space="preserve">—</w:t>
            </w:r>
          </w:p>
        </w:tc>
        <w:tc>
          <w:tcPr/>
          <w:p>
            <w:pPr>
              <w:pStyle w:val="Compact"/>
            </w:pPr>
            <w:r>
              <w:t xml:space="preserve">LOW</w:t>
            </w:r>
          </w:p>
        </w:tc>
      </w:tr>
      <w:tr>
        <w:tc>
          <w:tcPr/>
          <w:p>
            <w:pPr>
              <w:pStyle w:val="Compact"/>
            </w:pPr>
            <w:r>
              <w:t xml:space="preserve">PPL</w:t>
            </w:r>
          </w:p>
        </w:tc>
        <w:tc>
          <w:tcPr/>
          <w:p>
            <w:pPr>
              <w:pStyle w:val="Compact"/>
            </w:pPr>
            <w:r>
              <w:t xml:space="preserve">Return</w:t>
            </w:r>
          </w:p>
        </w:tc>
        <w:tc>
          <w:tcPr/>
          <w:p>
            <w:pPr>
              <w:pStyle w:val="Compact"/>
            </w:pPr>
            <w:r>
              <w:t xml:space="preserve">5-day cumulative residual</w:t>
            </w:r>
          </w:p>
        </w:tc>
        <w:tc>
          <w:tcPr/>
          <w:p>
            <w:pPr>
              <w:pStyle w:val="Compact"/>
            </w:pPr>
            <w:r>
              <w:t xml:space="preserve">-0.3% (STABILIZE)</w:t>
            </w:r>
          </w:p>
        </w:tc>
        <w:tc>
          <w:tcPr/>
          <w:p>
            <w:pPr>
              <w:pStyle w:val="Compact"/>
            </w:pPr>
            <w:r>
              <w:t xml:space="preserve">Guidance and 2026-2029 capex/EPS growth framework are reaffirmed with no material surprise; PA settlement ramp and RI/Kentucky dockets already known from Q1 call and priced in, so estimate revisions should be minimal either way. Key swing factors (KY KPSC reconsideration timing, Blackstone JV ESA announcement) remain unresolved/qualitative rather than quantified guide changes, limiting both upside chasing and downside estimate cuts — consistent with a stabilize pattern rather than strong follow-through or fade.</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2026-08-07T00:14:31Z</dcterms:created>
  <dcterms:modified xsi:type="dcterms:W3CDTF">2026-08-07T00:14:31Z</dcterms:modified>
</cp:coreProperties>
</file>

<file path=docProps/custom.xml><?xml version="1.0" encoding="utf-8"?>
<Properties xmlns="http://schemas.openxmlformats.org/officeDocument/2006/custom-properties" xmlns:vt="http://schemas.openxmlformats.org/officeDocument/2006/docPropsVTypes"/>
</file>