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l-earnings-predictions--2026-08-07"/>
    <w:p>
      <w:pPr>
        <w:pStyle w:val="Heading1"/>
      </w:pPr>
      <w:r>
        <w:t xml:space="preserve">PPL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ongoing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~$0.36 vs. cons $0.35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~$2.20B vs. cons $2.18B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H1 2026 capital expenditures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~$2.32B vs. cons $2.30B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Ongoing EPS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~$1.94 vs. cons $1.95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investment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~$5.1B vs. cons $5.1B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Long-term annual EPS growth midpoint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~7.0% vs. cons 7.0% (through 2029)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Blackstone JV signed contracted capacity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~0.0 GW vs. cons 0.0 GW (Q2 2026 update)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-0.1% (FADE)</w:t>
            </w:r>
          </w:p>
        </w:tc>
        <w:tc>
          <w:tcPr/>
          <w:p>
            <w:pPr>
              <w:pStyle w:val="Compact"/>
            </w:pPr>
            <w:r>
              <w:t xml:space="preserve">A ~</w:t>
            </w:r>
            <m:oMath>
              <m:r>
                <m:t>0.01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l</m:t>
              </m:r>
              <m:r>
                <m:t>y</m:t>
              </m:r>
              <m:r>
                <m:t>E</m:t>
              </m:r>
              <m:r>
                <m:t>P</m:t>
              </m:r>
              <m:r>
                <m:t>S</m:t>
              </m:r>
              <m:r>
                <m:t>b</m:t>
              </m:r>
              <m:r>
                <m:t>e</m:t>
              </m:r>
              <m:r>
                <m:t>a</m:t>
              </m:r>
              <m:r>
                <m:t>t</m:t>
              </m:r>
              <m:r>
                <m:t>m</m:t>
              </m:r>
              <m:r>
                <m:t>a</m:t>
              </m:r>
              <m:r>
                <m:t>y</m:t>
              </m:r>
              <m:r>
                <m:t>l</m:t>
              </m:r>
              <m:r>
                <m:t>i</m:t>
              </m:r>
              <m:r>
                <m:t>f</m:t>
              </m:r>
              <m:r>
                <m:t>t</m:t>
              </m:r>
              <m:r>
                <m:t>d</m:t>
              </m:r>
              <m:r>
                <m:t>a</m:t>
              </m:r>
              <m:r>
                <m:t>y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t>u</m:t>
              </m:r>
              <m:r>
                <m:t>t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1.94 versus consensus $1.95 implies second-half EPS of roughly $0.95 versus consensus near $0.96, limiting upward revisions and causing the initial move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2026-08-07T00:10:18Z</dcterms:created>
  <dcterms:modified xsi:type="dcterms:W3CDTF">2026-08-07T00:10:18Z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