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c64cacd3a5db2f03bbdbf253997095472d79b66"/>
    <w:p>
      <w:pPr>
        <w:pStyle w:val="Heading1"/>
      </w:pPr>
      <w:r>
        <w:t xml:space="preserve">PPL Corporation — Q2 2026 Earnings Preview</w:t>
      </w:r>
    </w:p>
    <w:p>
      <w:pPr>
        <w:pStyle w:val="FirstParagraph"/>
      </w:pPr>
      <w:r>
        <w:rPr>
          <w:b/>
          <w:bCs/>
        </w:rPr>
        <w:t xml:space="preserve">Report date:</w:t>
      </w:r>
      <w:r>
        <w:t xml:space="preserve"> </w:t>
      </w:r>
      <w:r>
        <w:t xml:space="preserve">Friday, August 7, 2026, before the market opens</w:t>
      </w:r>
      <w:r>
        <w:br/>
      </w:r>
      <w:r>
        <w:rPr>
          <w:b/>
          <w:bCs/>
        </w:rPr>
        <w:t xml:space="preserve">Conference call:</w:t>
      </w:r>
      <w:r>
        <w:t xml:space="preserve"> </w:t>
      </w:r>
      <w:r>
        <w:t xml:space="preserve">11:00 a.m. ET (</w:t>
      </w:r>
      <w:hyperlink r:id="rId9">
        <w:r>
          <w:rPr>
            <w:rStyle w:val="Hyperlink"/>
          </w:rPr>
          <w:t xml:space="preserve">investors.pplweb.com</w:t>
        </w:r>
      </w:hyperlink>
      <w:r>
        <w:t xml:space="preserve">)</w:t>
      </w:r>
    </w:p>
    <w:bookmarkStart w:id="10" w:name="executive-view"/>
    <w:p>
      <w:pPr>
        <w:pStyle w:val="Heading2"/>
      </w:pPr>
      <w:r>
        <w:t xml:space="preserve">Executive view</w:t>
      </w:r>
    </w:p>
    <w:p>
      <w:pPr>
        <w:pStyle w:val="FirstParagraph"/>
      </w:pPr>
      <w:r>
        <w:t xml:space="preserve">PPL enters the quarter with a relatively achievable earnings setup and substantially improved regulatory visibility in Pennsylvania. The most likely outcome is</w:t>
      </w:r>
      <w:r>
        <w:t xml:space="preserve"> </w:t>
      </w:r>
      <w:r>
        <w:rPr>
          <w:b/>
          <w:bCs/>
        </w:rPr>
        <w:t xml:space="preserve">modest year-over-year ongoing EPS growth and reaffirmed 2026 guidance</w:t>
      </w:r>
      <w:r>
        <w:t xml:space="preserve">.</w:t>
      </w:r>
    </w:p>
    <w:p>
      <w:pPr>
        <w:pStyle w:val="BodyText"/>
      </w:pPr>
      <w:r>
        <w:t xml:space="preserve">The stock’s reaction, however, may depend less on a small quarterly beat or miss and more on management’s commentary around:</w:t>
      </w:r>
    </w:p>
    <w:p>
      <w:pPr>
        <w:pStyle w:val="Compact"/>
        <w:numPr>
          <w:ilvl w:val="0"/>
          <w:numId w:val="1001"/>
        </w:numPr>
      </w:pPr>
      <w:r>
        <w:t xml:space="preserve">The quality and timing of the second-half earnings ramp.</w:t>
      </w:r>
    </w:p>
    <w:p>
      <w:pPr>
        <w:pStyle w:val="Compact"/>
        <w:numPr>
          <w:ilvl w:val="0"/>
          <w:numId w:val="1001"/>
        </w:numPr>
      </w:pPr>
      <w:r>
        <w:t xml:space="preserve">Pennsylvania data-center connections and transmission investment.</w:t>
      </w:r>
    </w:p>
    <w:p>
      <w:pPr>
        <w:pStyle w:val="Compact"/>
        <w:numPr>
          <w:ilvl w:val="0"/>
          <w:numId w:val="1001"/>
        </w:numPr>
      </w:pPr>
      <w:r>
        <w:t xml:space="preserve">A potential first contract for the Blackstone generation joint venture.</w:t>
      </w:r>
    </w:p>
    <w:p>
      <w:pPr>
        <w:pStyle w:val="Compact"/>
        <w:numPr>
          <w:ilvl w:val="0"/>
          <w:numId w:val="1001"/>
        </w:numPr>
      </w:pPr>
      <w:r>
        <w:t xml:space="preserve">Rhode Island’s pending rate case and growing affordability pressure.</w:t>
      </w:r>
    </w:p>
    <w:p>
      <w:pPr>
        <w:pStyle w:val="Compact"/>
        <w:numPr>
          <w:ilvl w:val="0"/>
          <w:numId w:val="1001"/>
        </w:numPr>
      </w:pPr>
      <w:r>
        <w:t xml:space="preserve">Capital spending, financing and equity issuance.</w:t>
      </w:r>
    </w:p>
    <w:p>
      <w:pPr>
        <w:pStyle w:val="FirstParagraph"/>
      </w:pPr>
      <w:r>
        <w:t xml:space="preserve">A routine quarter with unchanged guidance may be enough to support the shares, but probably not enough to produce a major rerating. The most meaningful upside catalyst would be a credible commercial milestone for the Blackstone joint venture or another material increase in visible, financially committed large-load demand.</w:t>
      </w:r>
    </w:p>
    <w:p>
      <w:r>
        <w:pict>
          <v:rect style="width:0;height:1.5pt" o:hralign="center" o:hrstd="t" o:hr="t"/>
        </w:pict>
      </w:r>
    </w:p>
    <w:bookmarkEnd w:id="10"/>
    <w:bookmarkStart w:id="12"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setup</w:t>
            </w:r>
          </w:p>
        </w:tc>
      </w:tr>
      <w:tr>
        <w:tc>
          <w:tcPr/>
          <w:p>
            <w:pPr>
              <w:pStyle w:val="Compact"/>
            </w:pPr>
            <w:r>
              <w:t xml:space="preserve">Public consensus ongoing EPS</w:t>
            </w:r>
          </w:p>
        </w:tc>
        <w:tc>
          <w:tcPr/>
          <w:p>
            <w:pPr>
              <w:pStyle w:val="Compact"/>
              <w:jc w:val="right"/>
            </w:pPr>
            <w:r>
              <w:t xml:space="preserve">Approximately</w:t>
            </w:r>
            <w:r>
              <w:t xml:space="preserve"> </w:t>
            </w:r>
            <m:oMath>
              <m:r>
                <m:t>0.34</m:t>
              </m:r>
              <m:r>
                <m:rPr>
                  <m:sty m:val="p"/>
                </m:rPr>
                <m:t>–</m:t>
              </m:r>
            </m:oMath>
            <w:r>
              <w:rPr>
                <w:b/>
                <w:bCs/>
              </w:rPr>
              <w:t xml:space="preserve">0.36</w:t>
            </w:r>
          </w:p>
        </w:tc>
      </w:tr>
      <w:tr>
        <w:tc>
          <w:tcPr/>
          <w:p>
            <w:pPr>
              <w:pStyle w:val="Compact"/>
            </w:pPr>
            <w:r>
              <w:t xml:space="preserve">Q2 2025 ongoing EPS</w:t>
            </w:r>
          </w:p>
        </w:tc>
        <w:tc>
          <w:tcPr/>
          <w:p>
            <w:pPr>
              <w:pStyle w:val="Compact"/>
              <w:jc w:val="right"/>
            </w:pPr>
            <w:r>
              <w:rPr>
                <w:b/>
                <w:bCs/>
              </w:rPr>
              <w:t xml:space="preserve">$0.32</w:t>
            </w:r>
          </w:p>
        </w:tc>
      </w:tr>
      <w:tr>
        <w:tc>
          <w:tcPr/>
          <w:p>
            <w:pPr>
              <w:pStyle w:val="Compact"/>
            </w:pPr>
            <w:r>
              <w:t xml:space="preserve">Q1 2026 ongoing EPS</w:t>
            </w:r>
          </w:p>
        </w:tc>
        <w:tc>
          <w:tcPr/>
          <w:p>
            <w:pPr>
              <w:pStyle w:val="Compact"/>
              <w:jc w:val="right"/>
            </w:pPr>
            <w:r>
              <w:rPr>
                <w:b/>
                <w:bCs/>
              </w:rPr>
              <w:t xml:space="preserve">$0.63</w:t>
            </w:r>
          </w:p>
        </w:tc>
      </w:tr>
      <w:tr>
        <w:tc>
          <w:tcPr/>
          <w:p>
            <w:pPr>
              <w:pStyle w:val="Compact"/>
            </w:pPr>
            <w:r>
              <w:t xml:space="preserve">2026 ongoing EPS guidance</w:t>
            </w:r>
          </w:p>
        </w:tc>
        <w:tc>
          <w:tcPr/>
          <w:p>
            <w:pPr>
              <w:pStyle w:val="Compact"/>
              <w:jc w:val="right"/>
            </w:pPr>
            <m:oMath>
              <m:r>
                <m:t>1.90</m:t>
              </m:r>
              <m:r>
                <m:rPr>
                  <m:sty m:val="p"/>
                </m:rPr>
                <m:t>–</m:t>
              </m:r>
            </m:oMath>
            <w:r>
              <w:rPr>
                <w:b/>
                <w:bCs/>
              </w:rPr>
              <w:t xml:space="preserve">1.98</w:t>
            </w:r>
          </w:p>
        </w:tc>
      </w:tr>
      <w:tr>
        <w:tc>
          <w:tcPr/>
          <w:p>
            <w:pPr>
              <w:pStyle w:val="Compact"/>
            </w:pPr>
            <w:r>
              <w:t xml:space="preserve">Guidance midpoint</w:t>
            </w:r>
          </w:p>
        </w:tc>
        <w:tc>
          <w:tcPr/>
          <w:p>
            <w:pPr>
              <w:pStyle w:val="Compact"/>
              <w:jc w:val="right"/>
            </w:pPr>
            <w:r>
              <w:rPr>
                <w:b/>
                <w:bCs/>
              </w:rPr>
              <w:t xml:space="preserve">$1.94</w:t>
            </w:r>
          </w:p>
        </w:tc>
      </w:tr>
      <w:tr>
        <w:tc>
          <w:tcPr/>
          <w:p>
            <w:pPr>
              <w:pStyle w:val="Compact"/>
            </w:pPr>
            <w:r>
              <w:t xml:space="preserve">Planned 2026 capital investment</w:t>
            </w:r>
          </w:p>
        </w:tc>
        <w:tc>
          <w:tcPr/>
          <w:p>
            <w:pPr>
              <w:pStyle w:val="Compact"/>
              <w:jc w:val="right"/>
            </w:pPr>
            <w:r>
              <w:t xml:space="preserve">Approximately</w:t>
            </w:r>
            <w:r>
              <w:t xml:space="preserve"> </w:t>
            </w:r>
            <w:r>
              <w:rPr>
                <w:b/>
                <w:bCs/>
              </w:rPr>
              <w:t xml:space="preserve">$5.1 billion</w:t>
            </w:r>
          </w:p>
        </w:tc>
      </w:tr>
      <w:tr>
        <w:tc>
          <w:tcPr/>
          <w:p>
            <w:pPr>
              <w:pStyle w:val="Compact"/>
            </w:pPr>
            <w:r>
              <w:t xml:space="preserve">2026–2029 capital plan</w:t>
            </w:r>
          </w:p>
        </w:tc>
        <w:tc>
          <w:tcPr/>
          <w:p>
            <w:pPr>
              <w:pStyle w:val="Compact"/>
              <w:jc w:val="right"/>
            </w:pPr>
            <w:r>
              <w:rPr>
                <w:b/>
                <w:bCs/>
              </w:rPr>
              <w:t xml:space="preserve">$23 billion</w:t>
            </w:r>
          </w:p>
        </w:tc>
      </w:tr>
      <w:tr>
        <w:tc>
          <w:tcPr/>
          <w:p>
            <w:pPr>
              <w:pStyle w:val="Compact"/>
            </w:pPr>
            <w:r>
              <w:t xml:space="preserve">Long-term EPS growth target</w:t>
            </w:r>
          </w:p>
        </w:tc>
        <w:tc>
          <w:tcPr/>
          <w:p>
            <w:pPr>
              <w:pStyle w:val="Compact"/>
              <w:jc w:val="right"/>
            </w:pPr>
            <w:r>
              <w:rPr>
                <w:b/>
                <w:bCs/>
              </w:rPr>
              <w:t xml:space="preserve">6%–8% annually through at least 2029</w:t>
            </w:r>
          </w:p>
        </w:tc>
      </w:tr>
      <w:tr>
        <w:tc>
          <w:tcPr/>
          <w:p>
            <w:pPr>
              <w:pStyle w:val="Compact"/>
            </w:pPr>
            <w:r>
              <w:t xml:space="preserve">August 6 closing price</w:t>
            </w:r>
          </w:p>
        </w:tc>
        <w:tc>
          <w:tcPr/>
          <w:p>
            <w:pPr>
              <w:pStyle w:val="Compact"/>
              <w:jc w:val="right"/>
            </w:pPr>
            <w:r>
              <w:t xml:space="preserve">Approximately</w:t>
            </w:r>
            <w:r>
              <w:t xml:space="preserve"> </w:t>
            </w:r>
            <w:r>
              <w:rPr>
                <w:b/>
                <w:bCs/>
              </w:rPr>
              <w:t xml:space="preserve">$34.63</w:t>
            </w:r>
          </w:p>
        </w:tc>
      </w:tr>
      <w:tr>
        <w:tc>
          <w:tcPr/>
          <w:p>
            <w:pPr>
              <w:pStyle w:val="Compact"/>
            </w:pPr>
            <w:r>
              <w:t xml:space="preserve">P/E on guidance midpoint</w:t>
            </w:r>
          </w:p>
        </w:tc>
        <w:tc>
          <w:tcPr/>
          <w:p>
            <w:pPr>
              <w:pStyle w:val="Compact"/>
              <w:jc w:val="right"/>
            </w:pPr>
            <w:r>
              <w:t xml:space="preserve">Approximately</w:t>
            </w:r>
            <w:r>
              <w:t xml:space="preserve"> </w:t>
            </w:r>
            <w:r>
              <w:rPr>
                <w:b/>
                <w:bCs/>
              </w:rPr>
              <w:t xml:space="preserve">17.9x</w:t>
            </w:r>
          </w:p>
        </w:tc>
      </w:tr>
      <w:tr>
        <w:tc>
          <w:tcPr/>
          <w:p>
            <w:pPr>
              <w:pStyle w:val="Compact"/>
            </w:pPr>
            <w:r>
              <w:t xml:space="preserve">Annualized dividend yield</w:t>
            </w:r>
          </w:p>
        </w:tc>
        <w:tc>
          <w:tcPr/>
          <w:p>
            <w:pPr>
              <w:pStyle w:val="Compact"/>
              <w:jc w:val="right"/>
            </w:pPr>
            <w:r>
              <w:t xml:space="preserve">Approximately</w:t>
            </w:r>
            <w:r>
              <w:t xml:space="preserve"> </w:t>
            </w:r>
            <w:r>
              <w:rPr>
                <w:b/>
                <w:bCs/>
              </w:rPr>
              <w:t xml:space="preserve">3.3%</w:t>
            </w:r>
          </w:p>
        </w:tc>
      </w:tr>
    </w:tbl>
    <w:p>
      <w:pPr>
        <w:pStyle w:val="BodyText"/>
      </w:pPr>
      <w:r>
        <w:t xml:space="preserve">Public estimate aggregators are not fully aligned: one lists a $0.34 consensus, while another shows $0.36 and approximately $2.18 billion of revenue. The earnings comparison implies roughly 6%–13% growth over last year’s $0.32. (</w:t>
      </w:r>
      <w:hyperlink r:id="rId11">
        <w:r>
          <w:rPr>
            <w:rStyle w:val="Hyperlink"/>
          </w:rPr>
          <w:t xml:space="preserve">tipranks.com</w:t>
        </w:r>
      </w:hyperlink>
      <w:r>
        <w:t xml:space="preserve">)</w:t>
      </w:r>
    </w:p>
    <w:p>
      <w:pPr>
        <w:pStyle w:val="BodyText"/>
      </w:pPr>
      <w:r>
        <w:t xml:space="preserve">Revenue is less informative than ongoing EPS for PPL because fuel and purchased-power costs can create substantial pass-through volatility.</w:t>
      </w:r>
    </w:p>
    <w:p>
      <w:r>
        <w:pict>
          <v:rect style="width:0;height:1.5pt" o:hralign="center" o:hrstd="t" o:hr="t"/>
        </w:pict>
      </w:r>
    </w:p>
    <w:bookmarkEnd w:id="12"/>
    <w:bookmarkStart w:id="14" w:name="the-earnings-bar-looks-manageable"/>
    <w:p>
      <w:pPr>
        <w:pStyle w:val="Heading2"/>
      </w:pPr>
      <w:r>
        <w:t xml:space="preserve">The earnings bar looks manageable</w:t>
      </w:r>
    </w:p>
    <w:p>
      <w:pPr>
        <w:pStyle w:val="FirstParagraph"/>
      </w:pPr>
      <w:r>
        <w:t xml:space="preserve">PPL reported first-quarter ongoing EPS of $0.63, up from $0.60, and reaffirmed its</w:t>
      </w:r>
      <w:r>
        <w:t xml:space="preserve"> </w:t>
      </w:r>
      <m:oMath>
        <m:r>
          <m:t>1.90</m:t>
        </m:r>
        <m:r>
          <m:rPr>
            <m:sty m:val="p"/>
          </m:rPr>
          <m:t>–</m:t>
        </m:r>
      </m:oMath>
      <w:r>
        <w:t xml:space="preserve">1.98 full-year range. Management said it remained on track to achieve at least the $1.94 midpoint. (</w:t>
      </w:r>
      <w:hyperlink r:id="rId13">
        <w:r>
          <w:rPr>
            <w:rStyle w:val="Hyperlink"/>
          </w:rPr>
          <w:t xml:space="preserve">investors.pplweb.com</w:t>
        </w:r>
      </w:hyperlink>
      <w:r>
        <w:t xml:space="preserve">)</w:t>
      </w:r>
    </w:p>
    <w:p>
      <w:pPr>
        <w:pStyle w:val="BodyText"/>
      </w:pPr>
      <w:r>
        <w:t xml:space="preserve">At the current Q2 consensus range:</w:t>
      </w:r>
    </w:p>
    <w:p>
      <w:pPr>
        <w:pStyle w:val="Compact"/>
        <w:numPr>
          <w:ilvl w:val="0"/>
          <w:numId w:val="1002"/>
        </w:numPr>
      </w:pPr>
      <w:r>
        <w:t xml:space="preserve">First-half ongoing EPS would be approximately</w:t>
      </w:r>
      <w:r>
        <w:t xml:space="preserve"> </w:t>
      </w:r>
      <m:oMath>
        <m:r>
          <m:t>0.97</m:t>
        </m:r>
        <m:r>
          <m:rPr>
            <m:sty m:val="p"/>
          </m:rPr>
          <m:t>–</m:t>
        </m:r>
      </m:oMath>
      <w:r>
        <w:rPr>
          <w:b/>
          <w:bCs/>
        </w:rPr>
        <w:t xml:space="preserve">0.99</w:t>
      </w:r>
      <w:r>
        <w:t xml:space="preserve">.</w:t>
      </w:r>
    </w:p>
    <w:p>
      <w:pPr>
        <w:pStyle w:val="Compact"/>
        <w:numPr>
          <w:ilvl w:val="0"/>
          <w:numId w:val="1002"/>
        </w:numPr>
      </w:pPr>
      <w:r>
        <w:t xml:space="preserve">PPL would need approximately</w:t>
      </w:r>
      <w:r>
        <w:t xml:space="preserve"> </w:t>
      </w:r>
      <m:oMath>
        <m:r>
          <m:t>0.95</m:t>
        </m:r>
        <m:r>
          <m:rPr>
            <m:sty m:val="p"/>
          </m:rPr>
          <m:t>–</m:t>
        </m:r>
      </m:oMath>
      <w:r>
        <w:rPr>
          <w:b/>
          <w:bCs/>
        </w:rPr>
        <w:t xml:space="preserve">0.97</w:t>
      </w:r>
      <w:r>
        <w:t xml:space="preserve"> </w:t>
      </w:r>
      <w:r>
        <w:t xml:space="preserve">in the second half to reach the $1.94 midpoint.</w:t>
      </w:r>
    </w:p>
    <w:p>
      <w:pPr>
        <w:pStyle w:val="FirstParagraph"/>
      </w:pPr>
      <w:r>
        <w:t xml:space="preserve">That does not appear to require an unusually aggressive back-half assumption. As a result,</w:t>
      </w:r>
      <w:r>
        <w:t xml:space="preserve"> </w:t>
      </w:r>
      <w:r>
        <w:rPr>
          <w:b/>
          <w:bCs/>
        </w:rPr>
        <w:t xml:space="preserve">guidance reaffirmation is the base case</w:t>
      </w:r>
      <w:r>
        <w:t xml:space="preserve">, absent adverse weather, unexpected operating costs or a regulatory accounting item.</w:t>
      </w:r>
    </w:p>
    <w:p>
      <w:pPr>
        <w:pStyle w:val="BodyText"/>
      </w:pPr>
      <w:r>
        <w:t xml:space="preserve">A guidance increase would be a clear positive surprise, but investors should not require one this early in the year. More important will be whether management continues to express confidence in reaching at least the midpoint and whether the underlying segment bridge remains intact.</w:t>
      </w:r>
    </w:p>
    <w:p>
      <w:r>
        <w:pict>
          <v:rect style="width:0;height:1.5pt" o:hralign="center" o:hrstd="t" o:hr="t"/>
        </w:pict>
      </w:r>
    </w:p>
    <w:bookmarkEnd w:id="14"/>
    <w:bookmarkStart w:id="23" w:name="segment-expectations"/>
    <w:p>
      <w:pPr>
        <w:pStyle w:val="Heading2"/>
      </w:pPr>
      <w:r>
        <w:t xml:space="preserve">Segment expectations</w:t>
      </w:r>
    </w:p>
    <w:bookmarkStart w:id="16" w:name="X646885a4f1ddd6b4987ba3a325086d60d10c017"/>
    <w:p>
      <w:pPr>
        <w:pStyle w:val="Heading3"/>
      </w:pPr>
      <w:r>
        <w:t xml:space="preserve">1. Kentucky: Rate relief should support growth</w:t>
      </w:r>
    </w:p>
    <w:p>
      <w:pPr>
        <w:pStyle w:val="FirstParagraph"/>
      </w:pPr>
      <w:r>
        <w:t xml:space="preserve">Kentucky should remain one of the clearest year-over-year earnings contributors.</w:t>
      </w:r>
    </w:p>
    <w:p>
      <w:pPr>
        <w:pStyle w:val="BodyText"/>
      </w:pPr>
      <w:r>
        <w:t xml:space="preserve">New retail rates became effective on January 1, 2026, and helped Kentucky ongoing EPS rise by $0.03 in the first quarter. The likely Q2 setup is:</w:t>
      </w:r>
    </w:p>
    <w:p>
      <w:pPr>
        <w:pStyle w:val="BodyText"/>
      </w:pPr>
      <w:r>
        <w:rPr>
          <w:b/>
          <w:bCs/>
        </w:rPr>
        <w:t xml:space="preserve">Positives</w:t>
      </w:r>
    </w:p>
    <w:p>
      <w:pPr>
        <w:pStyle w:val="Compact"/>
        <w:numPr>
          <w:ilvl w:val="0"/>
          <w:numId w:val="1003"/>
        </w:numPr>
      </w:pPr>
      <w:r>
        <w:t xml:space="preserve">Full-quarter benefit from the new rates.</w:t>
      </w:r>
    </w:p>
    <w:p>
      <w:pPr>
        <w:pStyle w:val="Compact"/>
        <w:numPr>
          <w:ilvl w:val="0"/>
          <w:numId w:val="1003"/>
        </w:numPr>
      </w:pPr>
      <w:r>
        <w:t xml:space="preserve">Earnings on continued infrastructure and generation investment.</w:t>
      </w:r>
    </w:p>
    <w:p>
      <w:pPr>
        <w:pStyle w:val="Compact"/>
        <w:numPr>
          <w:ilvl w:val="0"/>
          <w:numId w:val="1003"/>
        </w:numPr>
      </w:pPr>
      <w:r>
        <w:t xml:space="preserve">Potential load growth from manufacturing and data-center development.</w:t>
      </w:r>
    </w:p>
    <w:p>
      <w:pPr>
        <w:pStyle w:val="Compact"/>
        <w:numPr>
          <w:ilvl w:val="0"/>
          <w:numId w:val="1003"/>
        </w:numPr>
      </w:pPr>
      <w:r>
        <w:t xml:space="preserve">Easier comparison after weather-related weakness in Q2 2025.</w:t>
      </w:r>
    </w:p>
    <w:p>
      <w:pPr>
        <w:pStyle w:val="FirstParagraph"/>
      </w:pPr>
      <w:r>
        <w:rPr>
          <w:b/>
          <w:bCs/>
        </w:rPr>
        <w:t xml:space="preserve">Offsets</w:t>
      </w:r>
    </w:p>
    <w:p>
      <w:pPr>
        <w:pStyle w:val="Compact"/>
        <w:numPr>
          <w:ilvl w:val="0"/>
          <w:numId w:val="1004"/>
        </w:numPr>
      </w:pPr>
      <w:r>
        <w:t xml:space="preserve">Higher depreciation and financing expense.</w:t>
      </w:r>
    </w:p>
    <w:p>
      <w:pPr>
        <w:pStyle w:val="Compact"/>
        <w:numPr>
          <w:ilvl w:val="0"/>
          <w:numId w:val="1004"/>
        </w:numPr>
      </w:pPr>
      <w:r>
        <w:t xml:space="preserve">Operating-cost inflation.</w:t>
      </w:r>
    </w:p>
    <w:p>
      <w:pPr>
        <w:pStyle w:val="Compact"/>
        <w:numPr>
          <w:ilvl w:val="0"/>
          <w:numId w:val="1004"/>
        </w:numPr>
      </w:pPr>
      <w:r>
        <w:t xml:space="preserve">Weather and retail sales variability.</w:t>
      </w:r>
    </w:p>
    <w:p>
      <w:pPr>
        <w:pStyle w:val="Compact"/>
        <w:numPr>
          <w:ilvl w:val="0"/>
          <w:numId w:val="1004"/>
        </w:numPr>
      </w:pPr>
      <w:r>
        <w:t xml:space="preserve">Uncertainty surrounding the Kentucky rate-case rehearing.</w:t>
      </w:r>
    </w:p>
    <w:p>
      <w:pPr>
        <w:pStyle w:val="FirstParagraph"/>
      </w:pPr>
      <w:r>
        <w:t xml:space="preserve">Management previously said the existing Kentucky rate decision was sufficient to support the overall business plan, although LG&amp;E and KU continued to seek reconsideration of selected cost-recovery and return issues. The rehearing process remained open during the quarter. (</w:t>
      </w:r>
      <w:hyperlink r:id="rId15">
        <w:r>
          <w:rPr>
            <w:rStyle w:val="Hyperlink"/>
          </w:rPr>
          <w:t xml:space="preserve">psc.ky.gov</w:t>
        </w:r>
      </w:hyperlink>
      <w:r>
        <w:t xml:space="preserve">)</w:t>
      </w:r>
    </w:p>
    <w:p>
      <w:pPr>
        <w:pStyle w:val="BodyText"/>
      </w:pPr>
      <w:r>
        <w:t xml:space="preserve">Investors should listen for whether management still expects a third-quarter decision and whether any assumptions have changed.</w:t>
      </w:r>
    </w:p>
    <w:bookmarkEnd w:id="16"/>
    <w:bookmarkStart w:id="18" w:name="X3c975835cb5876664ada78ea2d1b3b9fa7b9706"/>
    <w:p>
      <w:pPr>
        <w:pStyle w:val="Heading3"/>
      </w:pPr>
      <w:r>
        <w:t xml:space="preserve">2. Pennsylvania: Stronger visibility, but the new base rates are mainly a Q3 story</w:t>
      </w:r>
    </w:p>
    <w:p>
      <w:pPr>
        <w:pStyle w:val="FirstParagraph"/>
      </w:pPr>
      <w:r>
        <w:t xml:space="preserve">Pennsylvania should benefit from additional transmission investment and associated formula-rate revenue. The major development since the last earnings call was the June 4 approval of PPL Electric’s rate-case settlement.</w:t>
      </w:r>
    </w:p>
    <w:p>
      <w:pPr>
        <w:pStyle w:val="BodyText"/>
      </w:pPr>
      <w:r>
        <w:t xml:space="preserve">The approval authorizes a</w:t>
      </w:r>
      <w:r>
        <w:t xml:space="preserve"> </w:t>
      </w:r>
      <w:r>
        <w:rPr>
          <w:b/>
          <w:bCs/>
        </w:rPr>
        <w:t xml:space="preserve">$275 million annual increase in base distribution revenue</w:t>
      </w:r>
      <w:r>
        <w:t xml:space="preserve">, versus an approximately $356 million original request. New rates became effective July 1, after the second quarter ended, so the direct earnings contribution should begin primarily in Q3 rather than Q2. The settlement also includes a two-year base-rate stay-out and a new large-load tariff with minimum ten-year commitments and other customer protections. (</w:t>
      </w:r>
      <w:hyperlink r:id="rId17">
        <w:r>
          <w:rPr>
            <w:rStyle w:val="Hyperlink"/>
          </w:rPr>
          <w:t xml:space="preserve">investors.pplweb.com</w:t>
        </w:r>
      </w:hyperlink>
      <w:r>
        <w:t xml:space="preserve">)</w:t>
      </w:r>
    </w:p>
    <w:p>
      <w:pPr>
        <w:pStyle w:val="BodyText"/>
      </w:pPr>
      <w:r>
        <w:t xml:space="preserve">For Q2, the key earnings variables are likely to be:</w:t>
      </w:r>
    </w:p>
    <w:p>
      <w:pPr>
        <w:pStyle w:val="Compact"/>
        <w:numPr>
          <w:ilvl w:val="0"/>
          <w:numId w:val="1005"/>
        </w:numPr>
      </w:pPr>
      <w:r>
        <w:t xml:space="preserve">Transmission revenue from capital additions.</w:t>
      </w:r>
    </w:p>
    <w:p>
      <w:pPr>
        <w:pStyle w:val="Compact"/>
        <w:numPr>
          <w:ilvl w:val="0"/>
          <w:numId w:val="1005"/>
        </w:numPr>
      </w:pPr>
      <w:r>
        <w:t xml:space="preserve">O&amp;M and storm expense.</w:t>
      </w:r>
    </w:p>
    <w:p>
      <w:pPr>
        <w:pStyle w:val="Compact"/>
        <w:numPr>
          <w:ilvl w:val="0"/>
          <w:numId w:val="1005"/>
        </w:numPr>
      </w:pPr>
      <w:r>
        <w:t xml:space="preserve">Depreciation and interest expense.</w:t>
      </w:r>
    </w:p>
    <w:p>
      <w:pPr>
        <w:pStyle w:val="Compact"/>
        <w:numPr>
          <w:ilvl w:val="0"/>
          <w:numId w:val="1005"/>
        </w:numPr>
      </w:pPr>
      <w:r>
        <w:t xml:space="preserve">Any timing-related transmission true-ups.</w:t>
      </w:r>
    </w:p>
    <w:p>
      <w:pPr>
        <w:pStyle w:val="FirstParagraph"/>
      </w:pPr>
      <w:r>
        <w:t xml:space="preserve">Strategically, the approval removes a material regulatory overhang and gives PPL better visibility into Pennsylvania earnings and cash flow for the second half.</w:t>
      </w:r>
    </w:p>
    <w:bookmarkEnd w:id="18"/>
    <w:bookmarkStart w:id="21" w:name="X99d3c0c88e8bd39a8c61fe99c5ec42b8389962a"/>
    <w:p>
      <w:pPr>
        <w:pStyle w:val="Heading3"/>
      </w:pPr>
      <w:r>
        <w:t xml:space="preserve">3. Rhode Island: The most important regulatory risk</w:t>
      </w:r>
    </w:p>
    <w:p>
      <w:pPr>
        <w:pStyle w:val="FirstParagraph"/>
      </w:pPr>
      <w:r>
        <w:t xml:space="preserve">Rhode Island may show incremental benefit from infrastructure riders and formula-rate investment, but its pending base-rate proceeding remains the major uncertainty.</w:t>
      </w:r>
    </w:p>
    <w:p>
      <w:pPr>
        <w:pStyle w:val="BodyText"/>
      </w:pPr>
      <w:r>
        <w:t xml:space="preserve">Rhode Island Energy requested:</w:t>
      </w:r>
    </w:p>
    <w:p>
      <w:pPr>
        <w:pStyle w:val="Compact"/>
        <w:numPr>
          <w:ilvl w:val="0"/>
          <w:numId w:val="1006"/>
        </w:numPr>
      </w:pPr>
      <w:r>
        <w:t xml:space="preserve">A</w:t>
      </w:r>
      <w:r>
        <w:t xml:space="preserve"> </w:t>
      </w:r>
      <w:r>
        <w:rPr>
          <w:b/>
          <w:bCs/>
        </w:rPr>
        <w:t xml:space="preserve">$181 million first-year revenue increase</w:t>
      </w:r>
      <w:r>
        <w:t xml:space="preserve">.</w:t>
      </w:r>
    </w:p>
    <w:p>
      <w:pPr>
        <w:pStyle w:val="Compact"/>
        <w:numPr>
          <w:ilvl w:val="0"/>
          <w:numId w:val="1006"/>
        </w:numPr>
      </w:pPr>
      <w:r>
        <w:t xml:space="preserve">An additional</w:t>
      </w:r>
      <w:r>
        <w:t xml:space="preserve"> </w:t>
      </w:r>
      <w:r>
        <w:rPr>
          <w:b/>
          <w:bCs/>
        </w:rPr>
        <w:t xml:space="preserve">$49 million in year two</w:t>
      </w:r>
      <w:r>
        <w:t xml:space="preserve">.</w:t>
      </w:r>
    </w:p>
    <w:p>
      <w:pPr>
        <w:pStyle w:val="Compact"/>
        <w:numPr>
          <w:ilvl w:val="0"/>
          <w:numId w:val="1006"/>
        </w:numPr>
      </w:pPr>
      <w:r>
        <w:t xml:space="preserve">New rates beginning September 1, 2026, subject to approval.</w:t>
      </w:r>
    </w:p>
    <w:p>
      <w:pPr>
        <w:pStyle w:val="FirstParagraph"/>
      </w:pPr>
      <w:r>
        <w:t xml:space="preserve">The filing is being reviewed alongside PPL’s proposed hold-harmless customer credits. (</w:t>
      </w:r>
      <w:hyperlink r:id="rId19">
        <w:r>
          <w:rPr>
            <w:rStyle w:val="Hyperlink"/>
          </w:rPr>
          <w:t xml:space="preserve">ripuc.ri.gov</w:t>
        </w:r>
      </w:hyperlink>
      <w:r>
        <w:t xml:space="preserve">)</w:t>
      </w:r>
    </w:p>
    <w:p>
      <w:pPr>
        <w:pStyle w:val="BodyText"/>
      </w:pPr>
      <w:r>
        <w:t xml:space="preserve">The political backdrop has become more difficult. On July 23, Rhode Island’s governor declared an energy-affordability emergency in response to an expected double-digit winter supply-rate increase and broader pressure on household energy bills. That action concerns supply costs rather than solely PPL’s utility-controlled rates, but it highlights the scrutiny surrounding any increase in customer bills. (</w:t>
      </w:r>
      <w:hyperlink r:id="rId20">
        <w:r>
          <w:rPr>
            <w:rStyle w:val="Hyperlink"/>
          </w:rPr>
          <w:t xml:space="preserve">governor.ri.gov</w:t>
        </w:r>
      </w:hyperlink>
      <w:r>
        <w:t xml:space="preserve">)</w:t>
      </w:r>
    </w:p>
    <w:p>
      <w:pPr>
        <w:pStyle w:val="BodyText"/>
      </w:pPr>
      <w:r>
        <w:t xml:space="preserve">Investors should focus on:</w:t>
      </w:r>
    </w:p>
    <w:p>
      <w:pPr>
        <w:pStyle w:val="Compact"/>
        <w:numPr>
          <w:ilvl w:val="0"/>
          <w:numId w:val="1007"/>
        </w:numPr>
      </w:pPr>
      <w:r>
        <w:t xml:space="preserve">Whether management sees the September 1 timetable as intact.</w:t>
      </w:r>
    </w:p>
    <w:p>
      <w:pPr>
        <w:pStyle w:val="Compact"/>
        <w:numPr>
          <w:ilvl w:val="0"/>
          <w:numId w:val="1007"/>
        </w:numPr>
      </w:pPr>
      <w:r>
        <w:t xml:space="preserve">Potential settlement discussions or changes to the requested revenue requirement.</w:t>
      </w:r>
    </w:p>
    <w:p>
      <w:pPr>
        <w:pStyle w:val="Compact"/>
        <w:numPr>
          <w:ilvl w:val="0"/>
          <w:numId w:val="1007"/>
        </w:numPr>
      </w:pPr>
      <w:r>
        <w:t xml:space="preserve">The timing and size of hold-harmless bill credits.</w:t>
      </w:r>
    </w:p>
    <w:p>
      <w:pPr>
        <w:pStyle w:val="Compact"/>
        <w:numPr>
          <w:ilvl w:val="0"/>
          <w:numId w:val="1007"/>
        </w:numPr>
      </w:pPr>
      <w:r>
        <w:t xml:space="preserve">Whether political pressure threatens authorized returns or recovery timing.</w:t>
      </w:r>
    </w:p>
    <w:bookmarkEnd w:id="21"/>
    <w:bookmarkStart w:id="22" w:name="X43cb4b95291347da4454b04f3b615b5b69a31b5"/>
    <w:p>
      <w:pPr>
        <w:pStyle w:val="Heading3"/>
      </w:pPr>
      <w:r>
        <w:t xml:space="preserve">4. Corporate and financing costs</w:t>
      </w:r>
    </w:p>
    <w:p>
      <w:pPr>
        <w:pStyle w:val="FirstParagraph"/>
      </w:pPr>
      <w:r>
        <w:t xml:space="preserve">Higher interest expense has been a recurring offset to utility-level growth. PPL’s large capital program requires substantial debt and equity financing, and the share count is already higher year over year.</w:t>
      </w:r>
    </w:p>
    <w:p>
      <w:pPr>
        <w:pStyle w:val="BodyText"/>
      </w:pPr>
      <w:r>
        <w:t xml:space="preserve">The company completed a $1.15 billion equity-units offering in February, which management said brought the amount of equity financing derisked for the current plan to roughly two-thirds. Investors should watch for:</w:t>
      </w:r>
    </w:p>
    <w:p>
      <w:pPr>
        <w:pStyle w:val="Compact"/>
        <w:numPr>
          <w:ilvl w:val="0"/>
          <w:numId w:val="1008"/>
        </w:numPr>
      </w:pPr>
      <w:r>
        <w:t xml:space="preserve">Updated ATM issuance expectations.</w:t>
      </w:r>
    </w:p>
    <w:p>
      <w:pPr>
        <w:pStyle w:val="Compact"/>
        <w:numPr>
          <w:ilvl w:val="0"/>
          <w:numId w:val="1008"/>
        </w:numPr>
      </w:pPr>
      <w:r>
        <w:t xml:space="preserve">Interest-cost trends.</w:t>
      </w:r>
    </w:p>
    <w:p>
      <w:pPr>
        <w:pStyle w:val="Compact"/>
        <w:numPr>
          <w:ilvl w:val="0"/>
          <w:numId w:val="1008"/>
        </w:numPr>
      </w:pPr>
      <w:r>
        <w:t xml:space="preserve">Credit-metric guidance.</w:t>
      </w:r>
    </w:p>
    <w:p>
      <w:pPr>
        <w:pStyle w:val="Compact"/>
        <w:numPr>
          <w:ilvl w:val="0"/>
          <w:numId w:val="1008"/>
        </w:numPr>
      </w:pPr>
      <w:r>
        <w:t xml:space="preserve">Any change to the targeted 16%–18% FFO/CFO-to-debt range.</w:t>
      </w:r>
    </w:p>
    <w:p>
      <w:r>
        <w:pict>
          <v:rect style="width:0;height:1.5pt" o:hralign="center" o:hrstd="t" o:hr="t"/>
        </w:pict>
      </w:r>
    </w:p>
    <w:bookmarkEnd w:id="22"/>
    <w:bookmarkEnd w:id="23"/>
    <w:bookmarkStart w:id="24" w:name="Xefcf47066dda3f7a2a4854a2ea7e6dd18bae148"/>
    <w:p>
      <w:pPr>
        <w:pStyle w:val="Heading2"/>
      </w:pPr>
      <w:r>
        <w:t xml:space="preserve">The most important strategic question: Is a Blackstone contract getting closer?</w:t>
      </w:r>
    </w:p>
    <w:p>
      <w:pPr>
        <w:pStyle w:val="FirstParagraph"/>
      </w:pPr>
      <w:r>
        <w:t xml:space="preserve">PPL’s joint venture with Blackstone is the largest potential source of upside not reflected in the current business plan.</w:t>
      </w:r>
    </w:p>
    <w:p>
      <w:pPr>
        <w:pStyle w:val="BodyText"/>
      </w:pPr>
      <w:r>
        <w:t xml:space="preserve">At the first-quarter call, management said the venture was:</w:t>
      </w:r>
    </w:p>
    <w:p>
      <w:pPr>
        <w:pStyle w:val="Compact"/>
        <w:numPr>
          <w:ilvl w:val="0"/>
          <w:numId w:val="1009"/>
        </w:numPr>
      </w:pPr>
      <w:r>
        <w:t xml:space="preserve">Negotiating with hyperscalers.</w:t>
      </w:r>
    </w:p>
    <w:p>
      <w:pPr>
        <w:pStyle w:val="Compact"/>
        <w:numPr>
          <w:ilvl w:val="0"/>
          <w:numId w:val="1009"/>
        </w:numPr>
      </w:pPr>
      <w:r>
        <w:t xml:space="preserve">Reserving multiple gas turbines.</w:t>
      </w:r>
    </w:p>
    <w:p>
      <w:pPr>
        <w:pStyle w:val="Compact"/>
        <w:numPr>
          <w:ilvl w:val="0"/>
          <w:numId w:val="1009"/>
        </w:numPr>
      </w:pPr>
      <w:r>
        <w:t xml:space="preserve">Controlling potential generation sites.</w:t>
      </w:r>
    </w:p>
    <w:p>
      <w:pPr>
        <w:pStyle w:val="Compact"/>
        <w:numPr>
          <w:ilvl w:val="0"/>
          <w:numId w:val="1009"/>
        </w:numPr>
      </w:pPr>
      <w:r>
        <w:t xml:space="preserve">Submitting projects into the PJM interconnection queue.</w:t>
      </w:r>
    </w:p>
    <w:p>
      <w:pPr>
        <w:pStyle w:val="Compact"/>
        <w:numPr>
          <w:ilvl w:val="0"/>
          <w:numId w:val="1009"/>
        </w:numPr>
      </w:pPr>
      <w:r>
        <w:t xml:space="preserve">Discussing fuel supply with pipeline operators.</w:t>
      </w:r>
    </w:p>
    <w:p>
      <w:pPr>
        <w:pStyle w:val="FirstParagraph"/>
      </w:pPr>
      <w:r>
        <w:t xml:space="preserve">Management also said it would be surprised not to announce something meaningful during 2026, while stressing that it would not begin construction without a signed long-term energy supply services agreement. The current earnings and capital plan assumes</w:t>
      </w:r>
      <w:r>
        <w:t xml:space="preserve"> </w:t>
      </w:r>
      <w:r>
        <w:rPr>
          <w:b/>
          <w:bCs/>
        </w:rPr>
        <w:t xml:space="preserve">no contribution from the joint venture</w:t>
      </w:r>
      <w:r>
        <w:t xml:space="preserve">, so a signed contract could represent genuine upside. (</w:t>
      </w:r>
      <w:hyperlink r:id="rId13">
        <w:r>
          <w:rPr>
            <w:rStyle w:val="Hyperlink"/>
          </w:rPr>
          <w:t xml:space="preserve">investors.pplweb.com</w:t>
        </w:r>
      </w:hyperlink>
      <w:r>
        <w:t xml:space="preserve">)</w:t>
      </w:r>
    </w:p>
    <w:p>
      <w:pPr>
        <w:pStyle w:val="BodyText"/>
      </w:pPr>
      <w:r>
        <w:t xml:space="preserve">The most useful details would be:</w:t>
      </w:r>
    </w:p>
    <w:p>
      <w:pPr>
        <w:pStyle w:val="Compact"/>
        <w:numPr>
          <w:ilvl w:val="0"/>
          <w:numId w:val="1010"/>
        </w:numPr>
      </w:pPr>
      <w:r>
        <w:t xml:space="preserve">Contracted megawatts.</w:t>
      </w:r>
    </w:p>
    <w:p>
      <w:pPr>
        <w:pStyle w:val="Compact"/>
        <w:numPr>
          <w:ilvl w:val="0"/>
          <w:numId w:val="1010"/>
        </w:numPr>
      </w:pPr>
      <w:r>
        <w:t xml:space="preserve">Customer identity or credit quality.</w:t>
      </w:r>
    </w:p>
    <w:p>
      <w:pPr>
        <w:pStyle w:val="Compact"/>
        <w:numPr>
          <w:ilvl w:val="0"/>
          <w:numId w:val="1010"/>
        </w:numPr>
      </w:pPr>
      <w:r>
        <w:t xml:space="preserve">Contract duration and risk allocation.</w:t>
      </w:r>
    </w:p>
    <w:p>
      <w:pPr>
        <w:pStyle w:val="Compact"/>
        <w:numPr>
          <w:ilvl w:val="0"/>
          <w:numId w:val="1010"/>
        </w:numPr>
      </w:pPr>
      <w:r>
        <w:t xml:space="preserve">Generation technology and in-service date.</w:t>
      </w:r>
    </w:p>
    <w:p>
      <w:pPr>
        <w:pStyle w:val="Compact"/>
        <w:numPr>
          <w:ilvl w:val="0"/>
          <w:numId w:val="1010"/>
        </w:numPr>
      </w:pPr>
      <w:r>
        <w:t xml:space="preserve">PPL’s equity contribution.</w:t>
      </w:r>
    </w:p>
    <w:p>
      <w:pPr>
        <w:pStyle w:val="Compact"/>
        <w:numPr>
          <w:ilvl w:val="0"/>
          <w:numId w:val="1010"/>
        </w:numPr>
      </w:pPr>
      <w:r>
        <w:t xml:space="preserve">Expected returns.</w:t>
      </w:r>
    </w:p>
    <w:p>
      <w:pPr>
        <w:pStyle w:val="Compact"/>
        <w:numPr>
          <w:ilvl w:val="0"/>
          <w:numId w:val="1010"/>
        </w:numPr>
      </w:pPr>
      <w:r>
        <w:t xml:space="preserve">Whether the project remains entirely outside regulated utility rate base.</w:t>
      </w:r>
    </w:p>
    <w:p>
      <w:pPr>
        <w:pStyle w:val="FirstParagraph"/>
      </w:pPr>
      <w:r>
        <w:t xml:space="preserve">General statements that discussions are “progressing” may no longer be sufficient for a major positive stock reaction. Investors will increasingly want a signed agreement or a clearer timeline.</w:t>
      </w:r>
    </w:p>
    <w:p>
      <w:r>
        <w:pict>
          <v:rect style="width:0;height:1.5pt" o:hralign="center" o:hrstd="t" o:hr="t"/>
        </w:pict>
      </w:r>
    </w:p>
    <w:bookmarkEnd w:id="24"/>
    <w:bookmarkStart w:id="26" w:name="X9db23a34d27db0730bc8b243c5afadf4b88d9c8"/>
    <w:p>
      <w:pPr>
        <w:pStyle w:val="Heading2"/>
      </w:pPr>
      <w:r>
        <w:t xml:space="preserve">Data centers: Separate committed demand from the headline pipeline</w:t>
      </w:r>
    </w:p>
    <w:p>
      <w:pPr>
        <w:pStyle w:val="FirstParagraph"/>
      </w:pPr>
      <w:r>
        <w:t xml:space="preserve">At the first-quarter update, PPL reported:</w:t>
      </w:r>
    </w:p>
    <w:p>
      <w:pPr>
        <w:pStyle w:val="Compact"/>
        <w:numPr>
          <w:ilvl w:val="0"/>
          <w:numId w:val="1011"/>
        </w:numPr>
      </w:pPr>
      <w:r>
        <w:rPr>
          <w:b/>
          <w:bCs/>
        </w:rPr>
        <w:t xml:space="preserve">28.3 GW</w:t>
      </w:r>
      <w:r>
        <w:t xml:space="preserve"> </w:t>
      </w:r>
      <w:r>
        <w:t xml:space="preserve">of Pennsylvania projects in advanced planning.</w:t>
      </w:r>
    </w:p>
    <w:p>
      <w:pPr>
        <w:pStyle w:val="Compact"/>
        <w:numPr>
          <w:ilvl w:val="0"/>
          <w:numId w:val="1011"/>
        </w:numPr>
      </w:pPr>
      <w:r>
        <w:t xml:space="preserve">Approximately</w:t>
      </w:r>
      <w:r>
        <w:t xml:space="preserve"> </w:t>
      </w:r>
      <w:r>
        <w:rPr>
          <w:b/>
          <w:bCs/>
        </w:rPr>
        <w:t xml:space="preserve">10 GW</w:t>
      </w:r>
      <w:r>
        <w:t xml:space="preserve"> </w:t>
      </w:r>
      <w:r>
        <w:t xml:space="preserve">with signed electric service agreements.</w:t>
      </w:r>
    </w:p>
    <w:p>
      <w:pPr>
        <w:pStyle w:val="Compact"/>
        <w:numPr>
          <w:ilvl w:val="0"/>
          <w:numId w:val="1011"/>
        </w:numPr>
      </w:pPr>
      <w:r>
        <w:t xml:space="preserve">Approximately</w:t>
      </w:r>
      <w:r>
        <w:t xml:space="preserve"> </w:t>
      </w:r>
      <w:r>
        <w:rPr>
          <w:b/>
          <w:bCs/>
        </w:rPr>
        <w:t xml:space="preserve">5 GW</w:t>
      </w:r>
      <w:r>
        <w:t xml:space="preserve"> </w:t>
      </w:r>
      <w:r>
        <w:t xml:space="preserve">already under construction.</w:t>
      </w:r>
    </w:p>
    <w:p>
      <w:pPr>
        <w:pStyle w:val="Compact"/>
        <w:numPr>
          <w:ilvl w:val="0"/>
          <w:numId w:val="1011"/>
        </w:numPr>
      </w:pPr>
      <w:r>
        <w:t xml:space="preserve">A</w:t>
      </w:r>
      <w:r>
        <w:t xml:space="preserve"> </w:t>
      </w:r>
      <w:r>
        <w:rPr>
          <w:b/>
          <w:bCs/>
        </w:rPr>
        <w:t xml:space="preserve">12.9 GW</w:t>
      </w:r>
      <w:r>
        <w:t xml:space="preserve"> </w:t>
      </w:r>
      <w:r>
        <w:t xml:space="preserve">potential Kentucky development pipeline.</w:t>
      </w:r>
    </w:p>
    <w:p>
      <w:pPr>
        <w:pStyle w:val="Compact"/>
        <w:numPr>
          <w:ilvl w:val="0"/>
          <w:numId w:val="1011"/>
        </w:numPr>
      </w:pPr>
      <w:r>
        <w:t xml:space="preserve">Approximately</w:t>
      </w:r>
      <w:r>
        <w:t xml:space="preserve"> </w:t>
      </w:r>
      <w:r>
        <w:rPr>
          <w:b/>
          <w:bCs/>
        </w:rPr>
        <w:t xml:space="preserve">3.5 GW</w:t>
      </w:r>
      <w:r>
        <w:t xml:space="preserve"> </w:t>
      </w:r>
      <w:r>
        <w:t xml:space="preserve">of probability-weighted new Kentucky load through 2032.</w:t>
      </w:r>
    </w:p>
    <w:p>
      <w:pPr>
        <w:pStyle w:val="FirstParagraph"/>
      </w:pPr>
      <w:r>
        <w:t xml:space="preserve">These figures are large relative to PPL’s current system, but investors should distinguish between inquiries, advanced projects, signed service agreements and actual energized load.</w:t>
      </w:r>
    </w:p>
    <w:p>
      <w:pPr>
        <w:pStyle w:val="BodyText"/>
      </w:pPr>
      <w:r>
        <w:t xml:space="preserve">The earnings call should clarify:</w:t>
      </w:r>
    </w:p>
    <w:p>
      <w:pPr>
        <w:pStyle w:val="Compact"/>
        <w:numPr>
          <w:ilvl w:val="0"/>
          <w:numId w:val="1012"/>
        </w:numPr>
      </w:pPr>
      <w:r>
        <w:t xml:space="preserve">How much demand has moved from planning into signed agreements.</w:t>
      </w:r>
    </w:p>
    <w:p>
      <w:pPr>
        <w:pStyle w:val="Compact"/>
        <w:numPr>
          <w:ilvl w:val="0"/>
          <w:numId w:val="1012"/>
        </w:numPr>
      </w:pPr>
      <w:r>
        <w:t xml:space="preserve">Whether additional Pennsylvania transmission capital is entering the formal plan.</w:t>
      </w:r>
    </w:p>
    <w:p>
      <w:pPr>
        <w:pStyle w:val="Compact"/>
        <w:numPr>
          <w:ilvl w:val="0"/>
          <w:numId w:val="1012"/>
        </w:numPr>
      </w:pPr>
      <w:r>
        <w:t xml:space="preserve">Customer prepayments and security arrangements.</w:t>
      </w:r>
    </w:p>
    <w:p>
      <w:pPr>
        <w:pStyle w:val="Compact"/>
        <w:numPr>
          <w:ilvl w:val="0"/>
          <w:numId w:val="1012"/>
        </w:numPr>
      </w:pPr>
      <w:r>
        <w:t xml:space="preserve">The expected load ramp through 2029.</w:t>
      </w:r>
    </w:p>
    <w:p>
      <w:pPr>
        <w:pStyle w:val="Compact"/>
        <w:numPr>
          <w:ilvl w:val="0"/>
          <w:numId w:val="1012"/>
        </w:numPr>
      </w:pPr>
      <w:r>
        <w:t xml:space="preserve">Whether Kentucky may file another generation certificate application in 2026.</w:t>
      </w:r>
    </w:p>
    <w:p>
      <w:pPr>
        <w:pStyle w:val="Compact"/>
        <w:numPr>
          <w:ilvl w:val="0"/>
          <w:numId w:val="1012"/>
        </w:numPr>
      </w:pPr>
      <w:r>
        <w:t xml:space="preserve">Potential generation additions beyond the roughly $4 billion already approved and under construction.</w:t>
      </w:r>
    </w:p>
    <w:p>
      <w:pPr>
        <w:pStyle w:val="FirstParagraph"/>
      </w:pPr>
      <w:r>
        <w:t xml:space="preserve">PPL reinforced this strategy on July 23 by signing the White House Ratepayer Protection Pledge. The company emphasized that its Pennsylvania LP-6 tariff and Kentucky EHLF tariff require long-term commitments, minimum billing obligations, financial security and customer funding of directly attributable infrastructure. (</w:t>
      </w:r>
      <w:hyperlink r:id="rId25">
        <w:r>
          <w:rPr>
            <w:rStyle w:val="Hyperlink"/>
          </w:rPr>
          <w:t xml:space="preserve">investors.pplweb.com</w:t>
        </w:r>
      </w:hyperlink>
      <w:r>
        <w:t xml:space="preserve">)</w:t>
      </w:r>
    </w:p>
    <w:p>
      <w:pPr>
        <w:pStyle w:val="BodyText"/>
      </w:pPr>
      <w:r>
        <w:t xml:space="preserve">This is strategically important: data-center growth is valuable only if PPL can demonstrate that</w:t>
      </w:r>
      <w:r>
        <w:t xml:space="preserve"> </w:t>
      </w:r>
      <w:r>
        <w:rPr>
          <w:b/>
          <w:bCs/>
        </w:rPr>
        <w:t xml:space="preserve">growth pays for growth</w:t>
      </w:r>
      <w:r>
        <w:t xml:space="preserve"> </w:t>
      </w:r>
      <w:r>
        <w:t xml:space="preserve">and does not create unrecovered infrastructure or affordability risk.</w:t>
      </w:r>
    </w:p>
    <w:p>
      <w:r>
        <w:pict>
          <v:rect style="width:0;height:1.5pt" o:hralign="center" o:hrstd="t" o:hr="t"/>
        </w:pict>
      </w:r>
    </w:p>
    <w:bookmarkEnd w:id="26"/>
    <w:bookmarkStart w:id="28" w:name="X37b687f1827b2d23dd46b70ab3c0d8bd192eb09"/>
    <w:p>
      <w:pPr>
        <w:pStyle w:val="Heading2"/>
      </w:pPr>
      <w:r>
        <w:t xml:space="preserve">Capital execution is becoming increasingly important</w:t>
      </w:r>
    </w:p>
    <w:p>
      <w:pPr>
        <w:pStyle w:val="FirstParagraph"/>
      </w:pPr>
      <w:r>
        <w:t xml:space="preserve">PPL plans approximately $5.1 billion of 2026 capital spending and $23 billion from 2026 through 2029, supporting projected average annual rate-base growth of approximately 10.3%. The plan underpins the company’s target for 6%–8% annual EPS growth, with compound growth expected near the high end through 2029. (</w:t>
      </w:r>
      <w:hyperlink r:id="rId27">
        <w:r>
          <w:rPr>
            <w:rStyle w:val="Hyperlink"/>
          </w:rPr>
          <w:t xml:space="preserve">investors.pplweb.com</w:t>
        </w:r>
      </w:hyperlink>
      <w:r>
        <w:t xml:space="preserve">)</w:t>
      </w:r>
    </w:p>
    <w:p>
      <w:pPr>
        <w:pStyle w:val="BodyText"/>
      </w:pPr>
      <w:r>
        <w:t xml:space="preserve">Investors should compare:</w:t>
      </w:r>
    </w:p>
    <w:p>
      <w:pPr>
        <w:pStyle w:val="Compact"/>
        <w:numPr>
          <w:ilvl w:val="0"/>
          <w:numId w:val="1013"/>
        </w:numPr>
      </w:pPr>
      <w:r>
        <w:t xml:space="preserve">First-half capital spending with the $5.1 billion target.</w:t>
      </w:r>
    </w:p>
    <w:p>
      <w:pPr>
        <w:pStyle w:val="Compact"/>
        <w:numPr>
          <w:ilvl w:val="0"/>
          <w:numId w:val="1013"/>
        </w:numPr>
      </w:pPr>
      <w:r>
        <w:t xml:space="preserve">Construction progress and costs on Kentucky generation projects.</w:t>
      </w:r>
    </w:p>
    <w:p>
      <w:pPr>
        <w:pStyle w:val="Compact"/>
        <w:numPr>
          <w:ilvl w:val="0"/>
          <w:numId w:val="1013"/>
        </w:numPr>
      </w:pPr>
      <w:r>
        <w:t xml:space="preserve">Transmission spending tied to Pennsylvania large-load connections.</w:t>
      </w:r>
    </w:p>
    <w:p>
      <w:pPr>
        <w:pStyle w:val="Compact"/>
        <w:numPr>
          <w:ilvl w:val="0"/>
          <w:numId w:val="1013"/>
        </w:numPr>
      </w:pPr>
      <w:r>
        <w:t xml:space="preserve">Regulatory recovery timing.</w:t>
      </w:r>
    </w:p>
    <w:p>
      <w:pPr>
        <w:pStyle w:val="Compact"/>
        <w:numPr>
          <w:ilvl w:val="0"/>
          <w:numId w:val="1013"/>
        </w:numPr>
      </w:pPr>
      <w:r>
        <w:t xml:space="preserve">Cash flow and financing requirements.</w:t>
      </w:r>
    </w:p>
    <w:p>
      <w:pPr>
        <w:pStyle w:val="Compact"/>
        <w:numPr>
          <w:ilvl w:val="0"/>
          <w:numId w:val="1013"/>
        </w:numPr>
      </w:pPr>
      <w:r>
        <w:t xml:space="preserve">Potential additions to the plan that are not yet funded.</w:t>
      </w:r>
    </w:p>
    <w:p>
      <w:pPr>
        <w:pStyle w:val="FirstParagraph"/>
      </w:pPr>
      <w:r>
        <w:t xml:space="preserve">A modest capital-spending variance is not necessarily problematic, but delays in major generation projects or a rise in projected costs would matter more than a small quarterly EPS miss.</w:t>
      </w:r>
    </w:p>
    <w:p>
      <w:r>
        <w:pict>
          <v:rect style="width:0;height:1.5pt" o:hralign="center" o:hrstd="t" o:hr="t"/>
        </w:pict>
      </w:r>
    </w:p>
    <w:bookmarkEnd w:id="28"/>
    <w:bookmarkStart w:id="32" w:name="what-would-constitute-a-good-report"/>
    <w:p>
      <w:pPr>
        <w:pStyle w:val="Heading2"/>
      </w:pPr>
      <w:r>
        <w:t xml:space="preserve">What would constitute a good report?</w:t>
      </w:r>
    </w:p>
    <w:bookmarkStart w:id="29" w:name="bullish-outcome"/>
    <w:p>
      <w:pPr>
        <w:pStyle w:val="Heading3"/>
      </w:pPr>
      <w:r>
        <w:t xml:space="preserve">Bullish outcome</w:t>
      </w:r>
    </w:p>
    <w:p>
      <w:pPr>
        <w:pStyle w:val="Compact"/>
        <w:numPr>
          <w:ilvl w:val="0"/>
          <w:numId w:val="1014"/>
        </w:numPr>
      </w:pPr>
      <w:r>
        <w:t xml:space="preserve">Ongoing EPS of</w:t>
      </w:r>
      <w:r>
        <w:t xml:space="preserve"> </w:t>
      </w:r>
      <w:r>
        <w:rPr>
          <w:b/>
          <w:bCs/>
        </w:rPr>
        <w:t xml:space="preserve">$0.36 or better</w:t>
      </w:r>
      <w:r>
        <w:t xml:space="preserve">.</w:t>
      </w:r>
    </w:p>
    <w:p>
      <w:pPr>
        <w:pStyle w:val="Compact"/>
        <w:numPr>
          <w:ilvl w:val="0"/>
          <w:numId w:val="1014"/>
        </w:numPr>
      </w:pPr>
      <w:r>
        <w:t xml:space="preserve">Guidance reaffirmed with confidence in at least the midpoint.</w:t>
      </w:r>
    </w:p>
    <w:p>
      <w:pPr>
        <w:pStyle w:val="Compact"/>
        <w:numPr>
          <w:ilvl w:val="0"/>
          <w:numId w:val="1014"/>
        </w:numPr>
      </w:pPr>
      <w:r>
        <w:t xml:space="preserve">No meaningful deterioration in the financing outlook.</w:t>
      </w:r>
    </w:p>
    <w:p>
      <w:pPr>
        <w:pStyle w:val="Compact"/>
        <w:numPr>
          <w:ilvl w:val="0"/>
          <w:numId w:val="1014"/>
        </w:numPr>
      </w:pPr>
      <w:r>
        <w:t xml:space="preserve">Pennsylvania rate implementation proceeds as expected.</w:t>
      </w:r>
    </w:p>
    <w:p>
      <w:pPr>
        <w:pStyle w:val="Compact"/>
        <w:numPr>
          <w:ilvl w:val="0"/>
          <w:numId w:val="1014"/>
        </w:numPr>
      </w:pPr>
      <w:r>
        <w:t xml:space="preserve">Constructive Rhode Island commentary.</w:t>
      </w:r>
    </w:p>
    <w:p>
      <w:pPr>
        <w:pStyle w:val="Compact"/>
        <w:numPr>
          <w:ilvl w:val="0"/>
          <w:numId w:val="1014"/>
        </w:numPr>
      </w:pPr>
      <w:r>
        <w:t xml:space="preserve">Further growth in financially committed data-center demand.</w:t>
      </w:r>
    </w:p>
    <w:p>
      <w:pPr>
        <w:pStyle w:val="Compact"/>
        <w:numPr>
          <w:ilvl w:val="0"/>
          <w:numId w:val="1014"/>
        </w:numPr>
      </w:pPr>
      <w:r>
        <w:t xml:space="preserve">A signed Blackstone agreement or a significantly more concrete timeline.</w:t>
      </w:r>
    </w:p>
    <w:p>
      <w:pPr>
        <w:pStyle w:val="Compact"/>
        <w:numPr>
          <w:ilvl w:val="0"/>
          <w:numId w:val="1014"/>
        </w:numPr>
      </w:pPr>
      <w:r>
        <w:t xml:space="preserve">Capital spending remains on schedule without material cost increases.</w:t>
      </w:r>
    </w:p>
    <w:bookmarkEnd w:id="29"/>
    <w:bookmarkStart w:id="30" w:name="base-case-outcome"/>
    <w:p>
      <w:pPr>
        <w:pStyle w:val="Heading3"/>
      </w:pPr>
      <w:r>
        <w:t xml:space="preserve">Base-case outcome</w:t>
      </w:r>
    </w:p>
    <w:p>
      <w:pPr>
        <w:pStyle w:val="Compact"/>
        <w:numPr>
          <w:ilvl w:val="0"/>
          <w:numId w:val="1015"/>
        </w:numPr>
      </w:pPr>
      <w:r>
        <w:t xml:space="preserve">Ongoing EPS around</w:t>
      </w:r>
      <w:r>
        <w:t xml:space="preserve"> </w:t>
      </w:r>
      <m:oMath>
        <m:r>
          <m:t>0.34</m:t>
        </m:r>
        <m:r>
          <m:rPr>
            <m:sty m:val="p"/>
          </m:rPr>
          <m:t>–</m:t>
        </m:r>
      </m:oMath>
      <w:r>
        <w:rPr>
          <w:b/>
          <w:bCs/>
        </w:rPr>
        <w:t xml:space="preserve">0.35</w:t>
      </w:r>
      <w:r>
        <w:t xml:space="preserve">.</w:t>
      </w:r>
    </w:p>
    <w:p>
      <w:pPr>
        <w:pStyle w:val="Compact"/>
        <w:numPr>
          <w:ilvl w:val="0"/>
          <w:numId w:val="1015"/>
        </w:numPr>
      </w:pPr>
      <w:r>
        <w:t xml:space="preserve">Full-year guidance and long-term targets reaffirmed.</w:t>
      </w:r>
    </w:p>
    <w:p>
      <w:pPr>
        <w:pStyle w:val="Compact"/>
        <w:numPr>
          <w:ilvl w:val="0"/>
          <w:numId w:val="1015"/>
        </w:numPr>
      </w:pPr>
      <w:r>
        <w:t xml:space="preserve">Pennsylvania approval described as supportive of the second half.</w:t>
      </w:r>
    </w:p>
    <w:p>
      <w:pPr>
        <w:pStyle w:val="Compact"/>
        <w:numPr>
          <w:ilvl w:val="0"/>
          <w:numId w:val="1015"/>
        </w:numPr>
      </w:pPr>
      <w:r>
        <w:t xml:space="preserve">Rhode Island remains pending.</w:t>
      </w:r>
    </w:p>
    <w:p>
      <w:pPr>
        <w:pStyle w:val="Compact"/>
        <w:numPr>
          <w:ilvl w:val="0"/>
          <w:numId w:val="1015"/>
        </w:numPr>
      </w:pPr>
      <w:r>
        <w:t xml:space="preserve">Blackstone negotiations continue, but without a signed agreement.</w:t>
      </w:r>
    </w:p>
    <w:p>
      <w:pPr>
        <w:pStyle w:val="Compact"/>
        <w:numPr>
          <w:ilvl w:val="0"/>
          <w:numId w:val="1015"/>
        </w:numPr>
      </w:pPr>
      <w:r>
        <w:t xml:space="preserve">Data-center pipeline remains broadly stable.</w:t>
      </w:r>
    </w:p>
    <w:p>
      <w:pPr>
        <w:pStyle w:val="FirstParagraph"/>
      </w:pPr>
      <w:r>
        <w:t xml:space="preserve">This would be a satisfactory utility report, although the share-price response could be muted.</w:t>
      </w:r>
    </w:p>
    <w:bookmarkEnd w:id="30"/>
    <w:bookmarkStart w:id="31" w:name="bearish-outcome"/>
    <w:p>
      <w:pPr>
        <w:pStyle w:val="Heading3"/>
      </w:pPr>
      <w:r>
        <w:t xml:space="preserve">Bearish outcome</w:t>
      </w:r>
    </w:p>
    <w:p>
      <w:pPr>
        <w:pStyle w:val="Compact"/>
        <w:numPr>
          <w:ilvl w:val="0"/>
          <w:numId w:val="1016"/>
        </w:numPr>
      </w:pPr>
      <w:r>
        <w:t xml:space="preserve">Ongoing EPS below approximately</w:t>
      </w:r>
      <w:r>
        <w:t xml:space="preserve"> </w:t>
      </w:r>
      <m:oMath>
        <m:r>
          <m:t>0.32</m:t>
        </m:r>
        <m:r>
          <m:rPr>
            <m:sty m:val="p"/>
          </m:rPr>
          <m:t>–</m:t>
        </m:r>
      </m:oMath>
      <w:r>
        <w:rPr>
          <w:b/>
          <w:bCs/>
        </w:rPr>
        <w:t xml:space="preserve">0.33</w:t>
      </w:r>
      <w:r>
        <w:t xml:space="preserve">.</w:t>
      </w:r>
    </w:p>
    <w:p>
      <w:pPr>
        <w:pStyle w:val="Compact"/>
        <w:numPr>
          <w:ilvl w:val="0"/>
          <w:numId w:val="1016"/>
        </w:numPr>
      </w:pPr>
      <w:r>
        <w:t xml:space="preserve">Management becomes less confident in achieving the guidance midpoint.</w:t>
      </w:r>
    </w:p>
    <w:p>
      <w:pPr>
        <w:pStyle w:val="Compact"/>
        <w:numPr>
          <w:ilvl w:val="0"/>
          <w:numId w:val="1016"/>
        </w:numPr>
      </w:pPr>
      <w:r>
        <w:t xml:space="preserve">Higher O&amp;M, storm or financing costs outweigh rate and transmission growth.</w:t>
      </w:r>
    </w:p>
    <w:p>
      <w:pPr>
        <w:pStyle w:val="Compact"/>
        <w:numPr>
          <w:ilvl w:val="0"/>
          <w:numId w:val="1016"/>
        </w:numPr>
      </w:pPr>
      <w:r>
        <w:t xml:space="preserve">Rhode Island recovery is delayed or materially reduced.</w:t>
      </w:r>
    </w:p>
    <w:p>
      <w:pPr>
        <w:pStyle w:val="Compact"/>
        <w:numPr>
          <w:ilvl w:val="0"/>
          <w:numId w:val="1016"/>
        </w:numPr>
      </w:pPr>
      <w:r>
        <w:t xml:space="preserve">Kentucky regulatory developments weaken expected returns.</w:t>
      </w:r>
    </w:p>
    <w:p>
      <w:pPr>
        <w:pStyle w:val="Compact"/>
        <w:numPr>
          <w:ilvl w:val="0"/>
          <w:numId w:val="1016"/>
        </w:numPr>
      </w:pPr>
      <w:r>
        <w:t xml:space="preserve">Capital costs increase or equity requirements rise.</w:t>
      </w:r>
    </w:p>
    <w:p>
      <w:pPr>
        <w:pStyle w:val="Compact"/>
        <w:numPr>
          <w:ilvl w:val="0"/>
          <w:numId w:val="1016"/>
        </w:numPr>
      </w:pPr>
      <w:r>
        <w:t xml:space="preserve">Data-center projects are delayed, downsized or fail to progress into binding agreements.</w:t>
      </w:r>
    </w:p>
    <w:p>
      <w:pPr>
        <w:pStyle w:val="Compact"/>
        <w:numPr>
          <w:ilvl w:val="0"/>
          <w:numId w:val="1016"/>
        </w:numPr>
      </w:pPr>
      <w:r>
        <w:t xml:space="preserve">Blackstone commentary becomes less specific despite prior expectations for a 2026 announcement.</w:t>
      </w:r>
    </w:p>
    <w:p>
      <w:r>
        <w:pict>
          <v:rect style="width:0;height:1.5pt" o:hralign="center" o:hrstd="t" o:hr="t"/>
        </w:pict>
      </w:r>
    </w:p>
    <w:bookmarkEnd w:id="31"/>
    <w:bookmarkEnd w:id="32"/>
    <w:bookmarkStart w:id="33" w:name="valuation-and-stock-setup"/>
    <w:p>
      <w:pPr>
        <w:pStyle w:val="Heading2"/>
      </w:pPr>
      <w:r>
        <w:t xml:space="preserve">Valuation and stock setup</w:t>
      </w:r>
    </w:p>
    <w:p>
      <w:pPr>
        <w:pStyle w:val="FirstParagraph"/>
      </w:pPr>
      <w:r>
        <w:t xml:space="preserve">PPL closed August 6 at approximately</w:t>
      </w:r>
      <w:r>
        <w:t xml:space="preserve"> </w:t>
      </w:r>
      <w:r>
        <w:rPr>
          <w:b/>
          <w:bCs/>
        </w:rPr>
        <w:t xml:space="preserve">$34.63</w:t>
      </w:r>
      <w:r>
        <w:t xml:space="preserve">, down about 1% from year-end 2025, versus gains of roughly 2% for the Utilities Select Sector SPDR and 13% for the S&amp;P 500 over the same period, excluding dividends.</w:t>
      </w:r>
    </w:p>
    <w:p>
      <w:pPr>
        <w:pStyle w:val="BodyText"/>
      </w:pPr>
      <w:r>
        <w:t xml:space="preserve">At that price:</w:t>
      </w:r>
    </w:p>
    <w:p>
      <w:pPr>
        <w:pStyle w:val="Compact"/>
        <w:numPr>
          <w:ilvl w:val="0"/>
          <w:numId w:val="1017"/>
        </w:numPr>
      </w:pPr>
      <w:r>
        <w:t xml:space="preserve">PPL trades at approximately</w:t>
      </w:r>
      <w:r>
        <w:t xml:space="preserve"> </w:t>
      </w:r>
      <w:r>
        <w:rPr>
          <w:b/>
          <w:bCs/>
        </w:rPr>
        <w:t xml:space="preserve">17.9 times</w:t>
      </w:r>
      <w:r>
        <w:t xml:space="preserve"> </w:t>
      </w:r>
      <w:r>
        <w:t xml:space="preserve">the $1.94 guidance midpoint.</w:t>
      </w:r>
    </w:p>
    <w:p>
      <w:pPr>
        <w:pStyle w:val="Compact"/>
        <w:numPr>
          <w:ilvl w:val="0"/>
          <w:numId w:val="1017"/>
        </w:numPr>
      </w:pPr>
      <w:r>
        <w:t xml:space="preserve">The annualized $1.14 dividend represents a yield of approximately</w:t>
      </w:r>
      <w:r>
        <w:t xml:space="preserve"> </w:t>
      </w:r>
      <w:r>
        <w:rPr>
          <w:b/>
          <w:bCs/>
        </w:rPr>
        <w:t xml:space="preserve">3.3%</w:t>
      </w:r>
      <w:r>
        <w:t xml:space="preserve">.</w:t>
      </w:r>
    </w:p>
    <w:p>
      <w:pPr>
        <w:pStyle w:val="Compact"/>
        <w:numPr>
          <w:ilvl w:val="0"/>
          <w:numId w:val="1017"/>
        </w:numPr>
      </w:pPr>
      <w:r>
        <w:t xml:space="preserve">The valuation appears to price in much of the regulated plan but relatively little success from the Blackstone venture.</w:t>
      </w:r>
    </w:p>
    <w:p>
      <w:pPr>
        <w:pStyle w:val="FirstParagraph"/>
      </w:pPr>
      <w:r>
        <w:t xml:space="preserve">That creates a balanced setup. The regulated utility story provides support through rate-base growth and the dividend, while a contractual data-center generation announcement could add upside. Conversely, the large capital program, required equity financing and affordability pressures limit room for execution errors.</w:t>
      </w:r>
    </w:p>
    <w:bookmarkEnd w:id="33"/>
    <w:bookmarkStart w:id="34" w:name="bottom-line"/>
    <w:p>
      <w:pPr>
        <w:pStyle w:val="Heading2"/>
      </w:pPr>
      <w:r>
        <w:t xml:space="preserve">Bottom line</w:t>
      </w:r>
    </w:p>
    <w:p>
      <w:pPr>
        <w:pStyle w:val="FirstParagraph"/>
      </w:pPr>
      <w:r>
        <w:t xml:space="preserve">The likely Q2 result is</w:t>
      </w:r>
      <w:r>
        <w:t xml:space="preserve"> </w:t>
      </w:r>
      <w:r>
        <w:rPr>
          <w:b/>
          <w:bCs/>
        </w:rPr>
        <w:t xml:space="preserve">incremental ongoing EPS growth and unchanged 2026 guidance</w:t>
      </w:r>
      <w:r>
        <w:t xml:space="preserve">. The Pennsylvania rate-case approval improves the quality of the outlook, but because the new rates began July 1, it is more relevant to the second half than to Q2 itself.</w:t>
      </w:r>
    </w:p>
    <w:p>
      <w:pPr>
        <w:pStyle w:val="BodyText"/>
      </w:pPr>
      <w:r>
        <w:t xml:space="preserve">The decisive issue is whether PPL can convert its unusually large data-center opportunity into</w:t>
      </w:r>
      <w:r>
        <w:t xml:space="preserve"> </w:t>
      </w:r>
      <w:r>
        <w:rPr>
          <w:b/>
          <w:bCs/>
        </w:rPr>
        <w:t xml:space="preserve">binding, customer-protected and financeable investment</w:t>
      </w:r>
      <w:r>
        <w:t xml:space="preserve">. A routine earnings beat would be welcome; a signed Blackstone energy agreement, accelerated committed load or a clearly expanded transmission opportunity would be far more important to the investment thesis.</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s://governor.ri.gov/executive-orders/executive-order-26-05?utm_source=openai" TargetMode="External" /><Relationship Type="http://schemas.openxmlformats.org/officeDocument/2006/relationships/hyperlink" Id="rId13" Target="https://investors.pplweb.com/2026-05-08-PPL-Corporation-delivers-solid-first-quarter-2026-earnings-reaffirms-full-year-guidance-and-long-term-growth-targets?utm_source=openai" TargetMode="External" /><Relationship Type="http://schemas.openxmlformats.org/officeDocument/2006/relationships/hyperlink" Id="rId17" Target="https://investors.pplweb.com/2026-06-04-Pennsylvania-Public-Utility-Commission-approves-new-distribution-rates-for-PPL-Electric-Utilities-prioritizing-reliability%2C-customer-protections-and-long-term-affordability?utm_source=openai" TargetMode="External" /><Relationship Type="http://schemas.openxmlformats.org/officeDocument/2006/relationships/hyperlink" Id="rId9" Target="https://investors.pplweb.com/2026-07-17-PPL-Corporation-to-Conduct-Webcast-on-Second-Quarter-2026-Earnings-Results?utm_source=openai" TargetMode="External" /><Relationship Type="http://schemas.openxmlformats.org/officeDocument/2006/relationships/hyperlink" Id="rId25" Target="https://investors.pplweb.com/2026-07-23-PPL-Corporation-signs-Ratepayer-Protection-Pledge-and-highlights-existing-customer-protections-in-Pennsylvania-and-Kentucky?utm_source=openai" TargetMode="External" /><Relationship Type="http://schemas.openxmlformats.org/officeDocument/2006/relationships/hyperlink" Id="rId27" Target="https://investors.pplweb.com/?utm_source=openai" TargetMode="External" /><Relationship Type="http://schemas.openxmlformats.org/officeDocument/2006/relationships/hyperlink" Id="rId15" Target="https://psc.ky.gov/Case/ViewCaseFilings/2025-00113?utm_source=openai" TargetMode="External" /><Relationship Type="http://schemas.openxmlformats.org/officeDocument/2006/relationships/hyperlink" Id="rId19" Target="https://ripuc.ri.gov/sites/g/files/xkgbur841/files/2026-03/Docket%2025-55-NG%20-%20Proposed%20FY%202027%20Gas%20ISR%20Plan%20-%20RI%20Energy%20Responses%20to%20PUC%27s%20Data%20Requests%20Set%202%20-%2003-02-2026.pdf?utm_source=openai" TargetMode="External" /><Relationship Type="http://schemas.openxmlformats.org/officeDocument/2006/relationships/hyperlink" Id="rId11" Target="https://www.tipranks.com/stocks/ppl/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20" Target="https://governor.ri.gov/executive-orders/executive-order-26-05?utm_source=openai" TargetMode="External" /><Relationship Type="http://schemas.openxmlformats.org/officeDocument/2006/relationships/hyperlink" Id="rId13" Target="https://investors.pplweb.com/2026-05-08-PPL-Corporation-delivers-solid-first-quarter-2026-earnings-reaffirms-full-year-guidance-and-long-term-growth-targets?utm_source=openai" TargetMode="External" /><Relationship Type="http://schemas.openxmlformats.org/officeDocument/2006/relationships/hyperlink" Id="rId17" Target="https://investors.pplweb.com/2026-06-04-Pennsylvania-Public-Utility-Commission-approves-new-distribution-rates-for-PPL-Electric-Utilities-prioritizing-reliability%2C-customer-protections-and-long-term-affordability?utm_source=openai" TargetMode="External" /><Relationship Type="http://schemas.openxmlformats.org/officeDocument/2006/relationships/hyperlink" Id="rId9" Target="https://investors.pplweb.com/2026-07-17-PPL-Corporation-to-Conduct-Webcast-on-Second-Quarter-2026-Earnings-Results?utm_source=openai" TargetMode="External" /><Relationship Type="http://schemas.openxmlformats.org/officeDocument/2006/relationships/hyperlink" Id="rId25" Target="https://investors.pplweb.com/2026-07-23-PPL-Corporation-signs-Ratepayer-Protection-Pledge-and-highlights-existing-customer-protections-in-Pennsylvania-and-Kentucky?utm_source=openai" TargetMode="External" /><Relationship Type="http://schemas.openxmlformats.org/officeDocument/2006/relationships/hyperlink" Id="rId27" Target="https://investors.pplweb.com/?utm_source=openai" TargetMode="External" /><Relationship Type="http://schemas.openxmlformats.org/officeDocument/2006/relationships/hyperlink" Id="rId15" Target="https://psc.ky.gov/Case/ViewCaseFilings/2025-00113?utm_source=openai" TargetMode="External" /><Relationship Type="http://schemas.openxmlformats.org/officeDocument/2006/relationships/hyperlink" Id="rId19" Target="https://ripuc.ri.gov/sites/g/files/xkgbur841/files/2026-03/Docket%2025-55-NG%20-%20Proposed%20FY%202027%20Gas%20ISR%20Plan%20-%20RI%20Energy%20Responses%20to%20PUC%27s%20Data%20Requests%20Set%202%20-%2003-02-2026.pdf?utm_source=openai" TargetMode="External" /><Relationship Type="http://schemas.openxmlformats.org/officeDocument/2006/relationships/hyperlink" Id="rId11" Target="https://www.tipranks.com/stocks/ppl/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2026-08-07T00:10:18Z</dcterms:created>
  <dcterms:modified xsi:type="dcterms:W3CDTF">2026-08-07T00:10:18Z</dcterms:modified>
</cp:coreProperties>
</file>

<file path=docProps/custom.xml><?xml version="1.0" encoding="utf-8"?>
<Properties xmlns="http://schemas.openxmlformats.org/officeDocument/2006/custom-properties" xmlns:vt="http://schemas.openxmlformats.org/officeDocument/2006/docPropsVTypes"/>
</file>