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l-earnings-predictions--2026-08-07"/>
    <w:p>
      <w:pPr>
        <w:pStyle w:val="Heading1"/>
      </w:pPr>
      <w:r>
        <w:t xml:space="preserve">PPL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ongoing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~$2.23B vs. cons $2.20B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capital investment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~$1.25B vs. cons $1.24B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ongoing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~$1.94 midpoint vs. cons $1.94 midpoint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investment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~$5.10B vs. cons $5.10B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Pennsylvania incremental data-center transmission opportunity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~$0.60B incremental opportunity vs. cons $0.50B (through 2029)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+1.8% (STABILIZE)</w:t>
            </w:r>
          </w:p>
        </w:tc>
        <w:tc>
          <w:tcPr/>
          <w:p>
            <w:pPr>
              <w:pStyle w:val="Compact"/>
            </w:pPr>
            <w:r>
              <w:t xml:space="preserve">A modest EPS/revenue beat and clean FY26 reaffirmation should support a positive initial reaction, but unchanged base-plan EPS and capital guidance leave limited near-term estimate-revision torque. A somewhat larger Pennsylvania load-related transmission opportunity offsets the lack of a modeled Blackstone-JV contribution, producing a modest positive move that stabilizes rather than materially follows 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2026-08-07T00:08:15Z</dcterms:created>
  <dcterms:modified xsi:type="dcterms:W3CDTF">2026-08-07T00:08:15Z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