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ppl-nyse-ppl--2q26-earnings-preview"/>
    <w:p>
      <w:pPr>
        <w:pStyle w:val="Heading1"/>
      </w:pPr>
      <w:r>
        <w:t xml:space="preserve">PPL (NYSE: PPL) — 2Q26 Earnings Preview</w:t>
      </w:r>
    </w:p>
    <w:p>
      <w:pPr>
        <w:pStyle w:val="FirstParagraph"/>
      </w:pPr>
      <w:r>
        <w:rPr>
          <w:b/>
          <w:bCs/>
        </w:rPr>
        <w:t xml:space="preserve">Event:</w:t>
      </w:r>
      <w:r>
        <w:t xml:space="preserve"> </w:t>
      </w:r>
      <w:r>
        <w:t xml:space="preserve">Friday, August 7, 2026, before market open; conference call at</w:t>
      </w:r>
      <w:r>
        <w:t xml:space="preserve"> </w:t>
      </w:r>
      <w:r>
        <w:rPr>
          <w:b/>
          <w:bCs/>
        </w:rPr>
        <w:t xml:space="preserve">11:00 a.m. ET</w:t>
      </w:r>
      <w:r>
        <w:t xml:space="preserve">. (</w:t>
      </w:r>
      <w:hyperlink r:id="rId9">
        <w:r>
          <w:rPr>
            <w:rStyle w:val="Hyperlink"/>
          </w:rPr>
          <w:t xml:space="preserve">investors.pplweb.com</w:t>
        </w:r>
      </w:hyperlink>
      <w:r>
        <w:t xml:space="preserve">)</w:t>
      </w:r>
      <w:r>
        <w:br/>
      </w:r>
      <w:r>
        <w:rPr>
          <w:b/>
          <w:bCs/>
        </w:rPr>
        <w:t xml:space="preserve">Preview stance:</w:t>
      </w:r>
      <w:r>
        <w:t xml:space="preserve"> </w:t>
      </w:r>
      <w:r>
        <w:t xml:space="preserve">This should be a</w:t>
      </w:r>
      <w:r>
        <w:t xml:space="preserve"> </w:t>
      </w:r>
      <w:r>
        <w:rPr>
          <w:b/>
          <w:bCs/>
        </w:rPr>
        <w:t xml:space="preserve">guidance-validation and catalyst-update</w:t>
      </w:r>
      <w:r>
        <w:t xml:space="preserve"> </w:t>
      </w:r>
      <w:r>
        <w:t xml:space="preserve">quarter rather than a simple EPS event. PPL’s regulated capital program remains the core of the story, while Pennsylvania data-center load growth and the Blackstone generation JV offer meaningful—but still unmodeled—upside. The near-term swing factors are regulatory clarity in Kentucky and Rhode Island, storm-cost/O&amp;M execution, financing discipline, and whether management can provide more tangible evidence that its large-load pipeline is converting into capital spending and contracted generation.</w:t>
      </w:r>
    </w:p>
    <w:bookmarkStart w:id="12" w:name="what-matters-most"/>
    <w:p>
      <w:pPr>
        <w:pStyle w:val="Heading2"/>
      </w:pPr>
      <w:r>
        <w:t xml:space="preserve">What matters most</w:t>
      </w:r>
    </w:p>
    <w:bookmarkStart w:id="11" w:name="Xf2288f05ad397dafaf1ad4fcb49cbe493b8a60e"/>
    <w:p>
      <w:pPr>
        <w:pStyle w:val="Heading3"/>
      </w:pPr>
      <w:r>
        <w:t xml:space="preserve">1. Full-year 2026 guidance: reaffirmation is the base case</w:t>
      </w:r>
    </w:p>
    <w:p>
      <w:pPr>
        <w:pStyle w:val="FirstParagraph"/>
      </w:pPr>
      <w:r>
        <w:t xml:space="preserve">PPL entered the quarter guiding to</w:t>
      </w:r>
      <w:r>
        <w:t xml:space="preserve"> </w:t>
      </w:r>
      <m:oMath>
        <m:r>
          <m:t>1.90</m:t>
        </m:r>
        <m:r>
          <m:rPr>
            <m:sty m:val="p"/>
          </m:rPr>
          <m:t>–</m:t>
        </m:r>
      </m:oMath>
      <w:r>
        <w:rPr>
          <w:b/>
          <w:bCs/>
        </w:rPr>
        <w:t xml:space="preserve">1.98</w:t>
      </w:r>
      <w:r>
        <w:t xml:space="preserve"> </w:t>
      </w:r>
      <w:r>
        <w:t xml:space="preserve">of ongoing EPS, with a</w:t>
      </w:r>
      <w:r>
        <w:t xml:space="preserve"> </w:t>
      </w:r>
      <m:oMath>
        <m:r>
          <m:t>1.94</m:t>
        </m:r>
        <m:r>
          <m:t>m</m:t>
        </m:r>
        <m:r>
          <m:t>i</m:t>
        </m:r>
        <m:r>
          <m:t>d</m:t>
        </m:r>
        <m:r>
          <m:t>p</m:t>
        </m:r>
        <m:r>
          <m:t>o</m:t>
        </m:r>
        <m:r>
          <m:t>i</m:t>
        </m:r>
        <m:r>
          <m:t>n</m:t>
        </m:r>
        <m:r>
          <m:t>t</m:t>
        </m:r>
        <m:r>
          <m:rPr>
            <m:sty m:val="p"/>
          </m:rPr>
          <m:t>*</m:t>
        </m:r>
        <m:r>
          <m:rPr>
            <m:sty m:val="p"/>
          </m:rPr>
          <m:t>*</m:t>
        </m:r>
        <m:r>
          <m:rPr>
            <m:sty m:val="p"/>
          </m:rPr>
          <m:t>,</m:t>
        </m:r>
        <m:r>
          <m:t>a</m:t>
        </m:r>
        <m:r>
          <m:t>f</m:t>
        </m:r>
        <m:r>
          <m:t>t</m:t>
        </m:r>
        <m:r>
          <m:t>e</m:t>
        </m:r>
        <m:r>
          <m:t>r</m:t>
        </m:r>
        <m:r>
          <m:t>g</m:t>
        </m:r>
        <m:r>
          <m:t>e</m:t>
        </m:r>
        <m:r>
          <m:t>n</m:t>
        </m:r>
        <m:r>
          <m:t>e</m:t>
        </m:r>
        <m:r>
          <m:t>r</m:t>
        </m:r>
        <m:r>
          <m:t>a</m:t>
        </m:r>
        <m:r>
          <m:t>t</m:t>
        </m:r>
        <m:r>
          <m:t>i</m:t>
        </m:r>
        <m:r>
          <m:t>n</m:t>
        </m:r>
        <m:r>
          <m:t>g</m:t>
        </m:r>
        <m:r>
          <m:rPr>
            <m:sty m:val="p"/>
          </m:rPr>
          <m:t>*</m:t>
        </m:r>
        <m:r>
          <m:rPr>
            <m:sty m:val="p"/>
          </m:rPr>
          <m:t>*</m:t>
        </m:r>
      </m:oMath>
      <w:r>
        <w:rPr>
          <w:b/>
          <w:bCs/>
        </w:rPr>
        <w:t xml:space="preserve">0.63</w:t>
      </w:r>
      <w:r>
        <w:t xml:space="preserve"> </w:t>
      </w:r>
      <w:r>
        <w:t xml:space="preserve">in 1Q26 ongoing EPS, up from $0.60 in 1Q25. Management characterized 1Q as sufficient to support at least the annual midpoint. (</w:t>
      </w:r>
      <w:hyperlink r:id="rId10">
        <w:r>
          <w:rPr>
            <w:rStyle w:val="Hyperlink"/>
          </w:rPr>
          <w:t xml:space="preserve">investors.pplweb.com</w:t>
        </w:r>
      </w:hyperlink>
      <w:r>
        <w:t xml:space="preserve">)</w:t>
      </w:r>
    </w:p>
    <w:p>
      <w:pPr>
        <w:pStyle w:val="BodyText"/>
      </w:pPr>
      <w:r>
        <w:t xml:space="preserve">The arithmetic leaves</w:t>
      </w:r>
      <w:r>
        <w:t xml:space="preserve"> </w:t>
      </w:r>
      <m:oMath>
        <m:r>
          <m:t>1.31</m:t>
        </m:r>
        <m:r>
          <m:rPr>
            <m:sty m:val="p"/>
          </m:rPr>
          <m:t>*</m:t>
        </m:r>
        <m:r>
          <m:rPr>
            <m:sty m:val="p"/>
          </m:rPr>
          <m:t>*</m:t>
        </m:r>
        <m:r>
          <m:t>o</m:t>
        </m:r>
        <m:r>
          <m:t>f</m:t>
        </m:r>
        <m:r>
          <m:t>o</m:t>
        </m:r>
        <m:r>
          <m:t>n</m:t>
        </m:r>
        <m:r>
          <m:t>g</m:t>
        </m:r>
        <m:r>
          <m:t>o</m:t>
        </m:r>
        <m:r>
          <m:t>i</m:t>
        </m:r>
        <m:r>
          <m:t>n</m:t>
        </m:r>
        <m:r>
          <m:t>g</m:t>
        </m:r>
        <m:r>
          <m:t>E</m:t>
        </m:r>
        <m:r>
          <m:t>P</m:t>
        </m:r>
        <m:r>
          <m:t>S</m:t>
        </m:r>
        <m:r>
          <m:t>t</m:t>
        </m:r>
        <m:r>
          <m:t>o</m:t>
        </m:r>
        <m:r>
          <m:t>b</m:t>
        </m:r>
        <m:r>
          <m:t>e</m:t>
        </m:r>
        <m:r>
          <m:t>e</m:t>
        </m:r>
        <m:r>
          <m:t>a</m:t>
        </m:r>
        <m:r>
          <m:t>r</m:t>
        </m:r>
        <m:r>
          <m:t>n</m:t>
        </m:r>
        <m:r>
          <m:t>e</m:t>
        </m:r>
        <m:r>
          <m:t>d</m:t>
        </m:r>
        <m:r>
          <m:t>i</m:t>
        </m:r>
        <m:r>
          <m:t>n</m:t>
        </m:r>
        <m:r>
          <m:t>t</m:t>
        </m:r>
        <m:r>
          <m:t>h</m:t>
        </m:r>
        <m:r>
          <m:t>e</m:t>
        </m:r>
        <m:r>
          <m:t>f</m:t>
        </m:r>
        <m:r>
          <m:t>i</m:t>
        </m:r>
        <m:r>
          <m:t>n</m:t>
        </m:r>
        <m:r>
          <m:t>a</m:t>
        </m:r>
        <m:r>
          <m:t>l</m:t>
        </m:r>
        <m:r>
          <m:t>t</m:t>
        </m:r>
        <m:r>
          <m:t>h</m:t>
        </m:r>
        <m:r>
          <m:t>r</m:t>
        </m:r>
        <m:r>
          <m:t>e</m:t>
        </m:r>
        <m:r>
          <m:t>e</m:t>
        </m:r>
        <m:r>
          <m:t>q</m:t>
        </m:r>
        <m:r>
          <m:t>u</m:t>
        </m:r>
        <m:r>
          <m:t>a</m:t>
        </m:r>
        <m:r>
          <m:t>r</m:t>
        </m:r>
        <m:r>
          <m:t>t</m:t>
        </m:r>
        <m:r>
          <m:t>e</m:t>
        </m:r>
        <m:r>
          <m:t>r</m:t>
        </m:r>
        <m:r>
          <m:t>s</m:t>
        </m:r>
        <m:r>
          <m:t>t</m:t>
        </m:r>
        <m:r>
          <m:t>o</m:t>
        </m:r>
        <m:r>
          <m:t>h</m:t>
        </m:r>
        <m:r>
          <m:t>i</m:t>
        </m:r>
        <m:r>
          <m:t>t</m:t>
        </m:r>
        <m:r>
          <m:t>m</m:t>
        </m:r>
        <m:r>
          <m:t>i</m:t>
        </m:r>
        <m:r>
          <m:t>d</m:t>
        </m:r>
        <m:r>
          <m:t>p</m:t>
        </m:r>
        <m:r>
          <m:t>o</m:t>
        </m:r>
        <m:r>
          <m:t>i</m:t>
        </m:r>
        <m:r>
          <m:t>n</m:t>
        </m:r>
        <m:r>
          <m:t>t</m:t>
        </m:r>
        <m:r>
          <m:t>g</m:t>
        </m:r>
        <m:r>
          <m:t>u</m:t>
        </m:r>
        <m:r>
          <m:t>i</m:t>
        </m:r>
        <m:r>
          <m:t>d</m:t>
        </m:r>
        <m:r>
          <m:t>a</m:t>
        </m:r>
        <m:r>
          <m:t>n</m:t>
        </m:r>
        <m:r>
          <m:t>c</m:t>
        </m:r>
        <m:r>
          <m:t>e</m:t>
        </m:r>
        <m:r>
          <m:rPr>
            <m:sty m:val="p"/>
          </m:rPr>
          <m:t>.</m:t>
        </m:r>
        <m:r>
          <m:t>T</m:t>
        </m:r>
        <m:r>
          <m:t>h</m:t>
        </m:r>
        <m:r>
          <m:t>a</m:t>
        </m:r>
        <m:r>
          <m:t>t</m:t>
        </m:r>
        <m:r>
          <m:t>i</m:t>
        </m:r>
        <m:r>
          <m:t>s</m:t>
        </m:r>
        <m:r>
          <m:t>a</m:t>
        </m:r>
        <m:r>
          <m:t>c</m:t>
        </m:r>
        <m:r>
          <m:t>h</m:t>
        </m:r>
        <m:r>
          <m:t>i</m:t>
        </m:r>
        <m:r>
          <m:t>e</m:t>
        </m:r>
        <m:r>
          <m:t>v</m:t>
        </m:r>
        <m:r>
          <m:t>a</m:t>
        </m:r>
        <m:r>
          <m:t>b</m:t>
        </m:r>
        <m:r>
          <m:t>l</m:t>
        </m:r>
        <m:r>
          <m:t>e</m:t>
        </m:r>
        <m:r>
          <m:rPr>
            <m:sty m:val="p"/>
          </m:rPr>
          <m:t>,</m:t>
        </m:r>
        <m:r>
          <m:t>b</m:t>
        </m:r>
        <m:r>
          <m:t>u</m:t>
        </m:r>
        <m:r>
          <m:t>t</m:t>
        </m:r>
        <m:r>
          <m:t>2</m:t>
        </m:r>
        <m:r>
          <m:t>Q</m:t>
        </m:r>
        <m:r>
          <m:t>i</m:t>
        </m:r>
        <m:r>
          <m:t>s</m:t>
        </m:r>
        <m:r>
          <m:t>l</m:t>
        </m:r>
        <m:r>
          <m:t>i</m:t>
        </m:r>
        <m:r>
          <m:t>k</m:t>
        </m:r>
        <m:r>
          <m:t>e</m:t>
        </m:r>
        <m:r>
          <m:t>l</m:t>
        </m:r>
        <m:r>
          <m:t>y</m:t>
        </m:r>
        <m:r>
          <m:t>t</m:t>
        </m:r>
        <m:r>
          <m:t>o</m:t>
        </m:r>
        <m:r>
          <m:t>b</m:t>
        </m:r>
        <m:r>
          <m:t>e</m:t>
        </m:r>
        <m:r>
          <m:t>v</m:t>
        </m:r>
        <m:r>
          <m:t>i</m:t>
        </m:r>
        <m:r>
          <m:t>e</m:t>
        </m:r>
        <m:r>
          <m:t>w</m:t>
        </m:r>
        <m:r>
          <m:t>e</m:t>
        </m:r>
        <m:r>
          <m:t>d</m:t>
        </m:r>
        <m:r>
          <m:t>a</m:t>
        </m:r>
        <m:r>
          <m:t>s</m:t>
        </m:r>
        <m:r>
          <m:t>a</m:t>
        </m:r>
        <m:r>
          <m:t>n</m:t>
        </m:r>
        <m:r>
          <m:t>e</m:t>
        </m:r>
        <m:r>
          <m:t>x</m:t>
        </m:r>
        <m:r>
          <m:t>e</m:t>
        </m:r>
        <m:r>
          <m:t>c</m:t>
        </m:r>
        <m:r>
          <m:t>u</m:t>
        </m:r>
        <m:r>
          <m:t>t</m:t>
        </m:r>
        <m:r>
          <m:t>i</m:t>
        </m:r>
        <m:r>
          <m:t>o</m:t>
        </m:r>
        <m:r>
          <m:t>n</m:t>
        </m:r>
        <m:r>
          <m:t>c</m:t>
        </m:r>
        <m:r>
          <m:t>h</m:t>
        </m:r>
        <m:r>
          <m:t>e</m:t>
        </m:r>
        <m:r>
          <m:t>c</m:t>
        </m:r>
        <m:r>
          <m:t>k</m:t>
        </m:r>
        <m:r>
          <m:t>p</m:t>
        </m:r>
        <m:r>
          <m:t>o</m:t>
        </m:r>
        <m:r>
          <m:t>i</m:t>
        </m:r>
        <m:r>
          <m:t>n</m:t>
        </m:r>
        <m:r>
          <m:t>t</m:t>
        </m:r>
        <m:r>
          <m:t>b</m:t>
        </m:r>
        <m:r>
          <m:t>e</m:t>
        </m:r>
        <m:r>
          <m:t>c</m:t>
        </m:r>
        <m:r>
          <m:t>a</m:t>
        </m:r>
        <m:r>
          <m:t>u</m:t>
        </m:r>
        <m:r>
          <m:t>s</m:t>
        </m:r>
        <m:r>
          <m:t>e</m:t>
        </m:r>
        <m:r>
          <m:t>t</m:t>
        </m:r>
        <m:r>
          <m:t>h</m:t>
        </m:r>
        <m:r>
          <m:t>e</m:t>
        </m:r>
        <m:r>
          <m:t>q</m:t>
        </m:r>
        <m:r>
          <m:t>u</m:t>
        </m:r>
        <m:r>
          <m:t>a</m:t>
        </m:r>
        <m:r>
          <m:t>r</m:t>
        </m:r>
        <m:r>
          <m:t>t</m:t>
        </m:r>
        <m:r>
          <m:t>e</m:t>
        </m:r>
        <m:r>
          <m:t>r</m:t>
        </m:r>
        <m:r>
          <m:t>h</m:t>
        </m:r>
        <m:r>
          <m:t>a</m:t>
        </m:r>
        <m:r>
          <m:t>s</m:t>
        </m:r>
        <m:r>
          <m:t>h</m:t>
        </m:r>
        <m:r>
          <m:t>i</m:t>
        </m:r>
        <m:r>
          <m:t>s</m:t>
        </m:r>
        <m:r>
          <m:t>t</m:t>
        </m:r>
        <m:r>
          <m:t>o</m:t>
        </m:r>
        <m:r>
          <m:t>r</m:t>
        </m:r>
        <m:r>
          <m:t>i</m:t>
        </m:r>
        <m:r>
          <m:t>c</m:t>
        </m:r>
        <m:r>
          <m:t>a</m:t>
        </m:r>
        <m:r>
          <m:t>l</m:t>
        </m:r>
        <m:r>
          <m:t>l</m:t>
        </m:r>
        <m:r>
          <m:t>y</m:t>
        </m:r>
        <m:r>
          <m:t>b</m:t>
        </m:r>
        <m:r>
          <m:t>e</m:t>
        </m:r>
        <m:r>
          <m:t>e</m:t>
        </m:r>
        <m:r>
          <m:t>n</m:t>
        </m:r>
        <m:r>
          <m:t>s</m:t>
        </m:r>
        <m:r>
          <m:t>e</m:t>
        </m:r>
        <m:r>
          <m:t>a</m:t>
        </m:r>
        <m:r>
          <m:t>s</m:t>
        </m:r>
        <m:r>
          <m:t>o</m:t>
        </m:r>
        <m:r>
          <m:t>n</m:t>
        </m:r>
        <m:r>
          <m:t>a</m:t>
        </m:r>
        <m:r>
          <m:t>l</m:t>
        </m:r>
        <m:r>
          <m:t>l</m:t>
        </m:r>
        <m:r>
          <m:t>y</m:t>
        </m:r>
        <m:r>
          <m:t>l</m:t>
        </m:r>
        <m:r>
          <m:t>i</m:t>
        </m:r>
        <m:r>
          <m:t>g</m:t>
        </m:r>
        <m:r>
          <m:t>h</m:t>
        </m:r>
        <m:r>
          <m:t>t</m:t>
        </m:r>
        <m:r>
          <m:rPr>
            <m:sty m:val="p"/>
          </m:rPr>
          <m:t>:</m:t>
        </m:r>
        <m:r>
          <m:t>P</m:t>
        </m:r>
        <m:r>
          <m:t>P</m:t>
        </m:r>
        <m:r>
          <m:t>L</m:t>
        </m:r>
        <m:r>
          <m:t>r</m:t>
        </m:r>
        <m:r>
          <m:t>e</m:t>
        </m:r>
        <m:r>
          <m:t>p</m:t>
        </m:r>
        <m:r>
          <m:t>o</m:t>
        </m:r>
        <m:r>
          <m:t>r</m:t>
        </m:r>
        <m:r>
          <m:t>t</m:t>
        </m:r>
        <m:r>
          <m:t>e</m:t>
        </m:r>
        <m:r>
          <m:t>d</m:t>
        </m:r>
        <m:r>
          <m:rPr>
            <m:sty m:val="p"/>
          </m:rPr>
          <m:t>*</m:t>
        </m:r>
        <m:r>
          <m:rPr>
            <m:sty m:val="p"/>
          </m:rPr>
          <m:t>*</m:t>
        </m:r>
      </m:oMath>
      <w:r>
        <w:rPr>
          <w:b/>
          <w:bCs/>
        </w:rPr>
        <w:t xml:space="preserve">0.32</w:t>
      </w:r>
      <w:r>
        <w:t xml:space="preserve"> </w:t>
      </w:r>
      <w:r>
        <w:t xml:space="preserve">of ongoing EPS in 2Q25, when cost timing, weather, and interest expense weighed on results.</w:t>
      </w:r>
    </w:p>
    <w:p>
      <w:pPr>
        <w:pStyle w:val="BodyText"/>
      </w:pPr>
      <w:r>
        <w:rPr>
          <w:b/>
          <w:bCs/>
        </w:rPr>
        <w:t xml:space="preserve">Investor read-through:</w:t>
      </w:r>
    </w:p>
    <w:p>
      <w:pPr>
        <w:pStyle w:val="Compact"/>
        <w:numPr>
          <w:ilvl w:val="0"/>
          <w:numId w:val="1001"/>
        </w:numPr>
      </w:pPr>
      <w:r>
        <w:rPr>
          <w:b/>
          <w:bCs/>
        </w:rPr>
        <w:t xml:space="preserve">Positive:</w:t>
      </w:r>
      <w:r>
        <w:t xml:space="preserve"> </w:t>
      </w:r>
      <w:r>
        <w:t xml:space="preserve">guidance reaffirmation with confidence around the midpoint or better, aided by Kentucky rate recovery, transmission investment, and normal cost execution.</w:t>
      </w:r>
    </w:p>
    <w:p>
      <w:pPr>
        <w:pStyle w:val="Compact"/>
        <w:numPr>
          <w:ilvl w:val="0"/>
          <w:numId w:val="1001"/>
        </w:numPr>
      </w:pPr>
      <w:r>
        <w:rPr>
          <w:b/>
          <w:bCs/>
        </w:rPr>
        <w:t xml:space="preserve">Negative:</w:t>
      </w:r>
      <w:r>
        <w:t xml:space="preserve"> </w:t>
      </w:r>
      <w:r>
        <w:t xml:space="preserve">any qualification around weather, storm restoration, O&amp;M, financing costs, or regulatory outcomes—even if guidance is technically maintained.</w:t>
      </w:r>
    </w:p>
    <w:bookmarkEnd w:id="11"/>
    <w:bookmarkEnd w:id="12"/>
    <w:bookmarkStart w:id="14" w:name="X14f64579eab58946e24927ffd461f02fc68a344"/>
    <w:p>
      <w:pPr>
        <w:pStyle w:val="Heading2"/>
      </w:pPr>
      <w:r>
        <w:t xml:space="preserve">2. Pennsylvania rate-case approval has de-risked the base plan—but its earnings benefit is mostly ahead</w:t>
      </w:r>
    </w:p>
    <w:p>
      <w:pPr>
        <w:pStyle w:val="FirstParagraph"/>
      </w:pPr>
      <w:r>
        <w:t xml:space="preserve">PPL Electric’s Pennsylvania distribution-rate settlement was approved in early June, with new rates effective</w:t>
      </w:r>
      <w:r>
        <w:t xml:space="preserve"> </w:t>
      </w:r>
      <w:r>
        <w:rPr>
          <w:b/>
          <w:bCs/>
        </w:rPr>
        <w:t xml:space="preserve">July 1, 2026</w:t>
      </w:r>
      <w:r>
        <w:t xml:space="preserve">. The settlement includes customer-affordability provisions, a large-load customer class/tariff, and a two-year base-rate-case stay-out. (</w:t>
      </w:r>
      <w:hyperlink r:id="rId13">
        <w:r>
          <w:rPr>
            <w:rStyle w:val="Hyperlink"/>
          </w:rPr>
          <w:t xml:space="preserve">investors.pplweb.com</w:t>
        </w:r>
      </w:hyperlink>
      <w:r>
        <w:t xml:space="preserve">)</w:t>
      </w:r>
    </w:p>
    <w:p>
      <w:pPr>
        <w:pStyle w:val="BodyText"/>
      </w:pPr>
      <w:r>
        <w:t xml:space="preserve">Because the rate effective date falls just after the June quarter-end, this is primarily a</w:t>
      </w:r>
      <w:r>
        <w:t xml:space="preserve"> </w:t>
      </w:r>
      <w:r>
        <w:rPr>
          <w:b/>
          <w:bCs/>
        </w:rPr>
        <w:t xml:space="preserve">3Q and forward</w:t>
      </w:r>
      <w:r>
        <w:t xml:space="preserve"> </w:t>
      </w:r>
      <w:r>
        <w:t xml:space="preserve">earnings and cash-flow support item, not a major 2Q EPS contributor. Still, investors will want confirmation that implementation is proceeding cleanly and that PPL remains comfortable with the regulatory framework amid broader political focus on customer bills and data-center-driven power demand.</w:t>
      </w:r>
    </w:p>
    <w:p>
      <w:pPr>
        <w:pStyle w:val="BodyText"/>
      </w:pPr>
      <w:r>
        <w:t xml:space="preserve">The bigger strategic issue is the demand pipeline. At 1Q, management cited</w:t>
      </w:r>
      <w:r>
        <w:t xml:space="preserve"> </w:t>
      </w:r>
      <w:r>
        <w:rPr>
          <w:b/>
          <w:bCs/>
        </w:rPr>
        <w:t xml:space="preserve">28.3 GW</w:t>
      </w:r>
      <w:r>
        <w:t xml:space="preserve"> </w:t>
      </w:r>
      <w:r>
        <w:t xml:space="preserve">of advanced-stage Pennsylvania projects, including roughly</w:t>
      </w:r>
      <w:r>
        <w:t xml:space="preserve"> </w:t>
      </w:r>
      <w:r>
        <w:rPr>
          <w:b/>
          <w:bCs/>
        </w:rPr>
        <w:t xml:space="preserve">10 GW</w:t>
      </w:r>
      <w:r>
        <w:t xml:space="preserve"> </w:t>
      </w:r>
      <w:r>
        <w:t xml:space="preserve">with signed electric-service agreements and</w:t>
      </w:r>
      <w:r>
        <w:t xml:space="preserve"> </w:t>
      </w:r>
      <w:r>
        <w:rPr>
          <w:b/>
          <w:bCs/>
        </w:rPr>
        <w:t xml:space="preserve">5 GW</w:t>
      </w:r>
      <w:r>
        <w:t xml:space="preserve"> </w:t>
      </w:r>
      <w:r>
        <w:t xml:space="preserve">already under construction. PPL estimated at least</w:t>
      </w:r>
      <w:r>
        <w:t xml:space="preserve"> </w:t>
      </w:r>
      <w:r>
        <w:rPr>
          <w:b/>
          <w:bCs/>
        </w:rPr>
        <w:t xml:space="preserve">$0.5 billion</w:t>
      </w:r>
      <w:r>
        <w:t xml:space="preserve"> </w:t>
      </w:r>
      <w:r>
        <w:t xml:space="preserve">of incremental transmission capital opportunity beyond its existing plan, with some spending potentially occurring after 2029.</w:t>
      </w:r>
    </w:p>
    <w:p>
      <w:pPr>
        <w:pStyle w:val="BodyText"/>
      </w:pPr>
      <w:r>
        <w:rPr>
          <w:b/>
          <w:bCs/>
        </w:rPr>
        <w:t xml:space="preserve">Key questions for the call</w:t>
      </w:r>
    </w:p>
    <w:p>
      <w:pPr>
        <w:pStyle w:val="Compact"/>
        <w:numPr>
          <w:ilvl w:val="0"/>
          <w:numId w:val="1002"/>
        </w:numPr>
      </w:pPr>
      <w:r>
        <w:t xml:space="preserve">Has the pace of signed service agreements, construction starts, or load interconnections accelerated since May?</w:t>
      </w:r>
    </w:p>
    <w:p>
      <w:pPr>
        <w:pStyle w:val="Compact"/>
        <w:numPr>
          <w:ilvl w:val="0"/>
          <w:numId w:val="1002"/>
        </w:numPr>
      </w:pPr>
      <w:r>
        <w:t xml:space="preserve">Is the incremental transmission opportunity still at least $0.5 billion, or has it expanded?</w:t>
      </w:r>
    </w:p>
    <w:p>
      <w:pPr>
        <w:pStyle w:val="Compact"/>
        <w:numPr>
          <w:ilvl w:val="0"/>
          <w:numId w:val="1002"/>
        </w:numPr>
      </w:pPr>
      <w:r>
        <w:t xml:space="preserve">Are large-load customers making the required deposits, credit commitments, and minimum-load commitments under the new tariff?</w:t>
      </w:r>
    </w:p>
    <w:bookmarkEnd w:id="14"/>
    <w:bookmarkStart w:id="16" w:name="X464b0dcd76c9f8c538f2f308e74a12decae9b2b"/>
    <w:p>
      <w:pPr>
        <w:pStyle w:val="Heading2"/>
      </w:pPr>
      <w:r>
        <w:t xml:space="preserve">3. The Blackstone JV is the upside catalyst—but should still be valued as optionality</w:t>
      </w:r>
    </w:p>
    <w:p>
      <w:pPr>
        <w:pStyle w:val="FirstParagraph"/>
      </w:pPr>
      <w:r>
        <w:t xml:space="preserve">The Blackstone Infrastructure joint venture is pursuing generation projects to serve data centers under long-term energy supply services agreements (ESSAs). As of the 1Q call, the JV had turbine-reservation agreements, PJM interconnection-queue submissions tied to controlled sites, and discussions with pipeline companies. Management said it would be surprised if it did not have “something meaningful” to announce during 2026.</w:t>
      </w:r>
    </w:p>
    <w:p>
      <w:pPr>
        <w:pStyle w:val="BodyText"/>
      </w:pPr>
      <w:r>
        <w:t xml:space="preserve">However, PPL explicitly does</w:t>
      </w:r>
      <w:r>
        <w:t xml:space="preserve"> </w:t>
      </w:r>
      <w:r>
        <w:rPr>
          <w:b/>
          <w:bCs/>
        </w:rPr>
        <w:t xml:space="preserve">not</w:t>
      </w:r>
      <w:r>
        <w:t xml:space="preserve"> </w:t>
      </w:r>
      <w:r>
        <w:t xml:space="preserve">include earnings contributions or capital investment from the JV in its formal business plan. (</w:t>
      </w:r>
      <w:hyperlink r:id="rId15">
        <w:r>
          <w:rPr>
            <w:rStyle w:val="Hyperlink"/>
          </w:rPr>
          <w:t xml:space="preserve">news.pplweb.com</w:t>
        </w:r>
      </w:hyperlink>
      <w:r>
        <w:t xml:space="preserve">)</w:t>
      </w:r>
    </w:p>
    <w:p>
      <w:pPr>
        <w:pStyle w:val="BodyText"/>
      </w:pPr>
      <w:r>
        <w:t xml:space="preserve">That distinction matters. The JV can enhance PPL’s multiple if it demonstrates contracted, utility-like economics and disciplined capital commitments; it should not yet be treated as base-case earnings.</w:t>
      </w:r>
    </w:p>
    <w:p>
      <w:pPr>
        <w:pStyle w:val="BodyText"/>
      </w:pPr>
      <w:r>
        <w:rPr>
          <w:b/>
          <w:bCs/>
        </w:rPr>
        <w:t xml:space="preserve">What would be genuinely incremental</w:t>
      </w:r>
    </w:p>
    <w:p>
      <w:pPr>
        <w:pStyle w:val="Compact"/>
        <w:numPr>
          <w:ilvl w:val="0"/>
          <w:numId w:val="1003"/>
        </w:numPr>
      </w:pPr>
      <w:r>
        <w:t xml:space="preserve">A signed ESSA with a named or credibly described hyperscaler/customer;</w:t>
      </w:r>
    </w:p>
    <w:p>
      <w:pPr>
        <w:pStyle w:val="Compact"/>
        <w:numPr>
          <w:ilvl w:val="0"/>
          <w:numId w:val="1003"/>
        </w:numPr>
      </w:pPr>
      <w:r>
        <w:t xml:space="preserve">Specific MW, in-service timing, turbine supply, site control, and gas-supply arrangements;</w:t>
      </w:r>
    </w:p>
    <w:p>
      <w:pPr>
        <w:pStyle w:val="Compact"/>
        <w:numPr>
          <w:ilvl w:val="0"/>
          <w:numId w:val="1003"/>
        </w:numPr>
      </w:pPr>
      <w:r>
        <w:t xml:space="preserve">Evidence that contractual protections leave demand, construction, and credit risk with the large-load customer;</w:t>
      </w:r>
    </w:p>
    <w:p>
      <w:pPr>
        <w:pStyle w:val="Compact"/>
        <w:numPr>
          <w:ilvl w:val="0"/>
          <w:numId w:val="1003"/>
        </w:numPr>
      </w:pPr>
      <w:r>
        <w:t xml:space="preserve">Return framing that supports the claimed utility-like risk profile.</w:t>
      </w:r>
    </w:p>
    <w:p>
      <w:pPr>
        <w:pStyle w:val="FirstParagraph"/>
      </w:pPr>
      <w:r>
        <w:rPr>
          <w:b/>
          <w:bCs/>
        </w:rPr>
        <w:t xml:space="preserve">What would disappoint</w:t>
      </w:r>
    </w:p>
    <w:p>
      <w:pPr>
        <w:pStyle w:val="Compact"/>
        <w:numPr>
          <w:ilvl w:val="0"/>
          <w:numId w:val="1004"/>
        </w:numPr>
      </w:pPr>
      <w:r>
        <w:t xml:space="preserve">Continued general progress commentary without signed contracts;</w:t>
      </w:r>
    </w:p>
    <w:p>
      <w:pPr>
        <w:pStyle w:val="Compact"/>
        <w:numPr>
          <w:ilvl w:val="0"/>
          <w:numId w:val="1004"/>
        </w:numPr>
      </w:pPr>
      <w:r>
        <w:t xml:space="preserve">A project timeline that slips materially because of interconnection, turbine delivery, gas infrastructure, or customer negotiations;</w:t>
      </w:r>
    </w:p>
    <w:p>
      <w:pPr>
        <w:pStyle w:val="Compact"/>
        <w:numPr>
          <w:ilvl w:val="0"/>
          <w:numId w:val="1004"/>
        </w:numPr>
      </w:pPr>
      <w:r>
        <w:t xml:space="preserve">Any indication that PPL must commit material capital ahead of firm customer contracts.</w:t>
      </w:r>
    </w:p>
    <w:bookmarkEnd w:id="16"/>
    <w:bookmarkStart w:id="18" w:name="X38f9d873bb4b97d873777df3e13dd771ef558d0"/>
    <w:p>
      <w:pPr>
        <w:pStyle w:val="Heading2"/>
      </w:pPr>
      <w:r>
        <w:t xml:space="preserve">4. Kentucky is the principal near-term regulatory swing factor</w:t>
      </w:r>
    </w:p>
    <w:p>
      <w:pPr>
        <w:pStyle w:val="FirstParagraph"/>
      </w:pPr>
      <w:r>
        <w:t xml:space="preserve">Kentucky rate recovery helped drive PPL’s 1Q improvement: the Kentucky segment’s ongoing EPS rose</w:t>
      </w:r>
      <w:r>
        <w:t xml:space="preserve"> </w:t>
      </w:r>
      <w:r>
        <w:rPr>
          <w:b/>
          <w:bCs/>
        </w:rPr>
        <w:t xml:space="preserve">$0.03 year over year</w:t>
      </w:r>
      <w:r>
        <w:t xml:space="preserve"> </w:t>
      </w:r>
      <w:r>
        <w:t xml:space="preserve">to $0.33, aided by higher retail rates effective January 1. (</w:t>
      </w:r>
      <w:hyperlink r:id="rId10">
        <w:r>
          <w:rPr>
            <w:rStyle w:val="Hyperlink"/>
          </w:rPr>
          <w:t xml:space="preserve">investors.pplweb.com</w:t>
        </w:r>
      </w:hyperlink>
      <w:r>
        <w:t xml:space="preserve">)</w:t>
      </w:r>
    </w:p>
    <w:p>
      <w:pPr>
        <w:pStyle w:val="BodyText"/>
      </w:pPr>
      <w:r>
        <w:t xml:space="preserve">But the Kentucky PSC’s reconsideration proceeding remains important. The case was submitted for decision on</w:t>
      </w:r>
      <w:r>
        <w:t xml:space="preserve"> </w:t>
      </w:r>
      <w:r>
        <w:rPr>
          <w:b/>
          <w:bCs/>
        </w:rPr>
        <w:t xml:space="preserve">June 20, 2026</w:t>
      </w:r>
      <w:r>
        <w:t xml:space="preserve">; LG&amp;E/KU requested a decision by</w:t>
      </w:r>
      <w:r>
        <w:t xml:space="preserve"> </w:t>
      </w:r>
      <w:r>
        <w:rPr>
          <w:b/>
          <w:bCs/>
        </w:rPr>
        <w:t xml:space="preserve">August 14, 2026</w:t>
      </w:r>
      <w:r>
        <w:t xml:space="preserve">, noting that without approval of the disputed sharing mechanism, they would likely need to file another rate case before year-end. (</w:t>
      </w:r>
      <w:hyperlink r:id="rId17">
        <w:r>
          <w:rPr>
            <w:rStyle w:val="Hyperlink"/>
          </w:rPr>
          <w:t xml:space="preserve">psc.ky.gov</w:t>
        </w:r>
      </w:hyperlink>
      <w:r>
        <w:t xml:space="preserve">)</w:t>
      </w:r>
    </w:p>
    <w:p>
      <w:pPr>
        <w:pStyle w:val="BodyText"/>
      </w:pPr>
      <w:r>
        <w:t xml:space="preserve">This means investors may receive new information on the earnings call only days before the company’s requested decision date.</w:t>
      </w:r>
    </w:p>
    <w:p>
      <w:pPr>
        <w:pStyle w:val="BodyText"/>
      </w:pPr>
      <w:r>
        <w:rPr>
          <w:b/>
          <w:bCs/>
        </w:rPr>
        <w:t xml:space="preserve">Why it matters:</w:t>
      </w:r>
      <w:r>
        <w:t xml:space="preserve"> </w:t>
      </w:r>
      <w:r>
        <w:t xml:space="preserve">A constructive outcome would reinforce the durability of Kentucky returns and reduce the prospect of another near-term rate filing. An unfavorable outcome would not necessarily break 2026 guidance, but it could pressure the perceived quality and visibility of the post-2026 growth algorithm.</w:t>
      </w:r>
    </w:p>
    <w:p>
      <w:pPr>
        <w:pStyle w:val="BodyText"/>
      </w:pPr>
      <w:r>
        <w:t xml:space="preserve">Beyond rates, Kentucky load growth is becoming strategically important. Management’s 1Q view was that a further generation CPCN filing could become more likely during 2026 if large-load demand continues to firm. Any update on data-center commitments, generation timing, or incremental capital needs could be more material to the stock than modest quarterly EPS variance.</w:t>
      </w:r>
    </w:p>
    <w:bookmarkEnd w:id="18"/>
    <w:bookmarkStart w:id="20" w:name="X147867d6ba2ed23b0400c608da8d8506e5a7620"/>
    <w:p>
      <w:pPr>
        <w:pStyle w:val="Heading2"/>
      </w:pPr>
      <w:r>
        <w:t xml:space="preserve">5. Rhode Island is a material 2027 setup, not a clean near-term catalyst</w:t>
      </w:r>
    </w:p>
    <w:p>
      <w:pPr>
        <w:pStyle w:val="FirstParagraph"/>
      </w:pPr>
      <w:r>
        <w:t xml:space="preserve">Rhode Island Energy’s base-rate case remains active. The company’s filing sought a</w:t>
      </w:r>
      <w:r>
        <w:t xml:space="preserve"> </w:t>
      </w:r>
      <m:oMath>
        <m:r>
          <m:t>181</m:t>
        </m:r>
        <m:r>
          <m:t>m</m:t>
        </m:r>
        <m:r>
          <m:t>i</m:t>
        </m:r>
        <m:r>
          <m:t>l</m:t>
        </m:r>
        <m:r>
          <m:t>l</m:t>
        </m:r>
        <m:r>
          <m:t>i</m:t>
        </m:r>
        <m:r>
          <m:t>o</m:t>
        </m:r>
        <m:r>
          <m:t>n</m:t>
        </m:r>
        <m:r>
          <m:rPr>
            <m:sty m:val="p"/>
          </m:rPr>
          <m:t>*</m:t>
        </m:r>
        <m:r>
          <m:rPr>
            <m:sty m:val="p"/>
          </m:rPr>
          <m:t>*</m:t>
        </m:r>
        <m:r>
          <m:t>f</m:t>
        </m:r>
        <m:r>
          <m:t>i</m:t>
        </m:r>
        <m:r>
          <m:t>r</m:t>
        </m:r>
        <m:r>
          <m:t>s</m:t>
        </m:r>
        <m:r>
          <m:t>t</m:t>
        </m:r>
        <m:r>
          <m:rPr>
            <m:sty m:val="p"/>
          </m:rPr>
          <m:t>−</m:t>
        </m:r>
        <m:r>
          <m:t>y</m:t>
        </m:r>
        <m:r>
          <m:t>e</m:t>
        </m:r>
        <m:r>
          <m:t>a</m:t>
        </m:r>
        <m:r>
          <m:t>r</m:t>
        </m:r>
        <m:r>
          <m:t>r</m:t>
        </m:r>
        <m:r>
          <m:t>e</m:t>
        </m:r>
        <m:r>
          <m:t>v</m:t>
        </m:r>
        <m:r>
          <m:t>e</m:t>
        </m:r>
        <m:r>
          <m:t>n</m:t>
        </m:r>
        <m:r>
          <m:t>u</m:t>
        </m:r>
        <m:r>
          <m:t>e</m:t>
        </m:r>
        <m:r>
          <m:t>r</m:t>
        </m:r>
        <m:r>
          <m:t>e</m:t>
        </m:r>
        <m:r>
          <m:t>q</m:t>
        </m:r>
        <m:r>
          <m:t>u</m:t>
        </m:r>
        <m:r>
          <m:t>i</m:t>
        </m:r>
        <m:r>
          <m:t>r</m:t>
        </m:r>
        <m:r>
          <m:t>e</m:t>
        </m:r>
        <m:r>
          <m:t>m</m:t>
        </m:r>
        <m:r>
          <m:t>e</m:t>
        </m:r>
        <m:r>
          <m:t>n</m:t>
        </m:r>
        <m:r>
          <m:t>t</m:t>
        </m:r>
        <m:r>
          <m:t>i</m:t>
        </m:r>
        <m:r>
          <m:t>n</m:t>
        </m:r>
        <m:r>
          <m:t>c</m:t>
        </m:r>
        <m:r>
          <m:t>r</m:t>
        </m:r>
        <m:r>
          <m:t>e</m:t>
        </m:r>
        <m:r>
          <m:t>a</m:t>
        </m:r>
        <m:r>
          <m:t>s</m:t>
        </m:r>
        <m:r>
          <m:t>e</m:t>
        </m:r>
        <m:r>
          <m:rPr>
            <m:sty m:val="p"/>
          </m:rPr>
          <m:t>,</m:t>
        </m:r>
        <m:r>
          <m:t>f</m:t>
        </m:r>
        <m:r>
          <m:t>o</m:t>
        </m:r>
        <m:r>
          <m:t>l</m:t>
        </m:r>
        <m:r>
          <m:t>l</m:t>
        </m:r>
        <m:r>
          <m:t>o</m:t>
        </m:r>
        <m:r>
          <m:t>w</m:t>
        </m:r>
        <m:r>
          <m:t>e</m:t>
        </m:r>
        <m:r>
          <m:t>d</m:t>
        </m:r>
        <m:r>
          <m:t>b</m:t>
        </m:r>
        <m:r>
          <m:t>y</m:t>
        </m:r>
        <m:r>
          <m:rPr>
            <m:sty m:val="p"/>
          </m:rPr>
          <m:t>*</m:t>
        </m:r>
        <m:r>
          <m:rPr>
            <m:sty m:val="p"/>
          </m:rPr>
          <m:t>*</m:t>
        </m:r>
      </m:oMath>
      <w:r>
        <w:rPr>
          <w:b/>
          <w:bCs/>
        </w:rPr>
        <w:t xml:space="preserve">49 million</w:t>
      </w:r>
      <w:r>
        <w:t xml:space="preserve"> </w:t>
      </w:r>
      <w:r>
        <w:t xml:space="preserve">in year two; the procedural schedule contemplated rates effective September 1, subject to regulatory approval. (</w:t>
      </w:r>
      <w:hyperlink r:id="rId19">
        <w:r>
          <w:rPr>
            <w:rStyle w:val="Hyperlink"/>
          </w:rPr>
          <w:t xml:space="preserve">ripuc.ri.gov</w:t>
        </w:r>
      </w:hyperlink>
      <w:r>
        <w:t xml:space="preserve">)</w:t>
      </w:r>
    </w:p>
    <w:p>
      <w:pPr>
        <w:pStyle w:val="BodyText"/>
      </w:pPr>
      <w:r>
        <w:t xml:space="preserve">PPL also proposed accelerating customer bill credits tied to its acquisition-related hold-harmless commitment, which should help address affordability concerns but may complicate the optics of the rate case.</w:t>
      </w:r>
    </w:p>
    <w:p>
      <w:pPr>
        <w:pStyle w:val="BodyText"/>
      </w:pPr>
      <w:r>
        <w:rPr>
          <w:b/>
          <w:bCs/>
        </w:rPr>
        <w:t xml:space="preserve">Earnings-call focus:</w:t>
      </w:r>
      <w:r>
        <w:t xml:space="preserve"> </w:t>
      </w:r>
      <w:r>
        <w:t xml:space="preserve">Look for management’s updated view on timing, settlement prospects, allowed return and capital-structure parameters, as well as whether the planned January 2027 bill credits remain intact. Rhode Island was flat on an ongoing-EPS basis in 1Q, so the value is in improving forward regulatory visibility rather than immediate earnings acceleration. (</w:t>
      </w:r>
      <w:hyperlink r:id="rId10">
        <w:r>
          <w:rPr>
            <w:rStyle w:val="Hyperlink"/>
          </w:rPr>
          <w:t xml:space="preserve">investors.pplweb.com</w:t>
        </w:r>
      </w:hyperlink>
      <w:r>
        <w:t xml:space="preserve">)</w:t>
      </w:r>
    </w:p>
    <w:bookmarkEnd w:id="20"/>
    <w:bookmarkStart w:id="22" w:name="financial-and-operating-watch-items"/>
    <w:p>
      <w:pPr>
        <w:pStyle w:val="Heading2"/>
      </w:pPr>
      <w:r>
        <w:t xml:space="preserve">Financial and operating watch items</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Topic</w:t>
            </w:r>
          </w:p>
        </w:tc>
        <w:tc>
          <w:tcPr/>
          <w:p>
            <w:pPr>
              <w:pStyle w:val="Compact"/>
            </w:pPr>
            <w:r>
              <w:t xml:space="preserve">Why it matters in 2Q26</w:t>
            </w:r>
          </w:p>
        </w:tc>
      </w:tr>
      <w:tr>
        <w:tc>
          <w:tcPr/>
          <w:p>
            <w:pPr>
              <w:pStyle w:val="Compact"/>
            </w:pPr>
            <w:r>
              <w:rPr>
                <w:b/>
                <w:bCs/>
              </w:rPr>
              <w:t xml:space="preserve">O&amp;M and storm costs</w:t>
            </w:r>
          </w:p>
        </w:tc>
        <w:tc>
          <w:tcPr/>
          <w:p>
            <w:pPr>
              <w:pStyle w:val="Compact"/>
            </w:pPr>
            <w:r>
              <w:t xml:space="preserve">PPL Electric restored more than 245,000 customers following severe weather in early July. While this falls largely after 2Q, investors will look for initial cost and regulatory-recovery framing. (</w:t>
            </w:r>
            <w:hyperlink r:id="rId21">
              <w:r>
                <w:rPr>
                  <w:rStyle w:val="Hyperlink"/>
                </w:rPr>
                <w:t xml:space="preserve">news.pplweb.com</w:t>
              </w:r>
            </w:hyperlink>
            <w:r>
              <w:t xml:space="preserve">)</w:t>
            </w:r>
          </w:p>
        </w:tc>
      </w:tr>
      <w:tr>
        <w:tc>
          <w:tcPr/>
          <w:p>
            <w:pPr>
              <w:pStyle w:val="Compact"/>
            </w:pPr>
            <w:r>
              <w:rPr>
                <w:b/>
                <w:bCs/>
              </w:rPr>
              <w:t xml:space="preserve">Interest expense / equity funding</w:t>
            </w:r>
          </w:p>
        </w:tc>
        <w:tc>
          <w:tcPr/>
          <w:p>
            <w:pPr>
              <w:pStyle w:val="Compact"/>
            </w:pPr>
            <w:r>
              <w:t xml:space="preserve">Higher financing costs partially offset operating gains in 1Q. PPL had already de-risked roughly two-thirds of its planned equity need through its February equity-units offering; the remaining reliance on ATM issuance remains a dilution and execution consideration.</w:t>
            </w:r>
          </w:p>
        </w:tc>
      </w:tr>
      <w:tr>
        <w:tc>
          <w:tcPr/>
          <w:p>
            <w:pPr>
              <w:pStyle w:val="Compact"/>
            </w:pPr>
            <w:r>
              <w:rPr>
                <w:b/>
                <w:bCs/>
              </w:rPr>
              <w:t xml:space="preserve">Capital deployment</w:t>
            </w:r>
          </w:p>
        </w:tc>
        <w:tc>
          <w:tcPr/>
          <w:p>
            <w:pPr>
              <w:pStyle w:val="Compact"/>
            </w:pPr>
            <w:r>
              <w:t xml:space="preserve">PPL targets approximately</w:t>
            </w:r>
            <w:r>
              <w:t xml:space="preserve"> </w:t>
            </w:r>
            <m:oMath>
              <m:r>
                <m:t>5.1</m:t>
              </m:r>
              <m:r>
                <m:t>b</m:t>
              </m:r>
              <m:r>
                <m:t>i</m:t>
              </m:r>
              <m:r>
                <m:t>l</m:t>
              </m:r>
              <m:r>
                <m:t>l</m:t>
              </m:r>
              <m:r>
                <m:t>i</m:t>
              </m:r>
              <m:r>
                <m:t>o</m:t>
              </m:r>
              <m:r>
                <m:t>n</m:t>
              </m:r>
              <m:r>
                <m:rPr>
                  <m:sty m:val="p"/>
                </m:rPr>
                <m:t>*</m:t>
              </m:r>
              <m:r>
                <m:rPr>
                  <m:sty m:val="p"/>
                </m:rPr>
                <m:t>*</m:t>
              </m:r>
              <m:r>
                <m:t>o</m:t>
              </m:r>
              <m:r>
                <m:t>f</m:t>
              </m:r>
              <m:r>
                <m:t>2026</m:t>
              </m:r>
              <m:r>
                <m:t>i</m:t>
              </m:r>
              <m:r>
                <m:t>n</m:t>
              </m:r>
              <m:r>
                <m:t>v</m:t>
              </m:r>
              <m:r>
                <m:t>e</m:t>
              </m:r>
              <m:r>
                <m:t>s</m:t>
              </m:r>
              <m:r>
                <m:t>t</m:t>
              </m:r>
              <m:r>
                <m:t>m</m:t>
              </m:r>
              <m:r>
                <m:t>e</m:t>
              </m:r>
              <m:r>
                <m:t>n</m:t>
              </m:r>
              <m:r>
                <m:t>t</m:t>
              </m:r>
              <m:r>
                <m:t>a</m:t>
              </m:r>
              <m:r>
                <m:t>n</m:t>
              </m:r>
              <m:r>
                <m:t>d</m:t>
              </m:r>
              <m:r>
                <m:t>r</m:t>
              </m:r>
              <m:r>
                <m:t>o</m:t>
              </m:r>
              <m:r>
                <m:t>u</m:t>
              </m:r>
              <m:r>
                <m:t>g</m:t>
              </m:r>
              <m:r>
                <m:t>h</m:t>
              </m:r>
              <m:r>
                <m:t>l</m:t>
              </m:r>
              <m:r>
                <m:t>y</m:t>
              </m:r>
              <m:r>
                <m:rPr>
                  <m:sty m:val="p"/>
                </m:rPr>
                <m:t>*</m:t>
              </m:r>
              <m:r>
                <m:rPr>
                  <m:sty m:val="p"/>
                </m:rPr>
                <m:t>*</m:t>
              </m:r>
            </m:oMath>
            <w:r>
              <w:rPr>
                <w:b/>
                <w:bCs/>
              </w:rPr>
              <w:t xml:space="preserve">23 billion</w:t>
            </w:r>
            <w:r>
              <w:t xml:space="preserve"> </w:t>
            </w:r>
            <w:r>
              <w:t xml:space="preserve">through 2029, supporting targeted rate-base growth of 10.3%. Delivery against this plan underpins the 6%–8% EPS-growth target. (</w:t>
            </w:r>
            <w:hyperlink r:id="rId10">
              <w:r>
                <w:rPr>
                  <w:rStyle w:val="Hyperlink"/>
                </w:rPr>
                <w:t xml:space="preserve">investors.pplweb.com</w:t>
              </w:r>
            </w:hyperlink>
            <w:r>
              <w:t xml:space="preserve">)</w:t>
            </w:r>
          </w:p>
        </w:tc>
      </w:tr>
      <w:tr>
        <w:tc>
          <w:tcPr/>
          <w:p>
            <w:pPr>
              <w:pStyle w:val="Compact"/>
            </w:pPr>
            <w:r>
              <w:rPr>
                <w:b/>
                <w:bCs/>
              </w:rPr>
              <w:t xml:space="preserve">Load versus affordability</w:t>
            </w:r>
          </w:p>
        </w:tc>
        <w:tc>
          <w:tcPr/>
          <w:p>
            <w:pPr>
              <w:pStyle w:val="Compact"/>
            </w:pPr>
            <w:r>
              <w:t xml:space="preserve">PPL’s investment case depends on serving large loads without shifting infrastructure or generation risk to legacy customers. The Pennsylvania tariff structure and Blackstone JV are intended to address this issue; investors should test the protections and economics.</w:t>
            </w:r>
          </w:p>
        </w:tc>
      </w:tr>
    </w:tbl>
    <w:bookmarkEnd w:id="22"/>
    <w:bookmarkStart w:id="23" w:name="market-setup"/>
    <w:p>
      <w:pPr>
        <w:pStyle w:val="Heading2"/>
      </w:pPr>
      <w:r>
        <w:t xml:space="preserve">Market setup</w:t>
      </w:r>
    </w:p>
    <w:p>
      <w:pPr>
        <w:pStyle w:val="FirstParagraph"/>
      </w:pPr>
      <w:r>
        <w:t xml:space="preserve">PPL closed at</w:t>
      </w:r>
      <w:r>
        <w:t xml:space="preserve"> </w:t>
      </w:r>
      <w:r>
        <w:rPr>
          <w:b/>
          <w:bCs/>
        </w:rPr>
        <w:t xml:space="preserve">$34.63 on August 6, 2026</w:t>
      </w:r>
      <w:r>
        <w:t xml:space="preserve">, down about</w:t>
      </w:r>
      <w:r>
        <w:t xml:space="preserve"> </w:t>
      </w:r>
      <w:r>
        <w:rPr>
          <w:b/>
          <w:bCs/>
        </w:rPr>
        <w:t xml:space="preserve">8%</w:t>
      </w:r>
      <w:r>
        <w:t xml:space="preserve"> </w:t>
      </w:r>
      <w:r>
        <w:t xml:space="preserve">since May 1, versus an approximately</w:t>
      </w:r>
      <w:r>
        <w:t xml:space="preserve"> </w:t>
      </w:r>
      <w:r>
        <w:rPr>
          <w:b/>
          <w:bCs/>
        </w:rPr>
        <w:t xml:space="preserve">7% decline</w:t>
      </w:r>
      <w:r>
        <w:t xml:space="preserve"> </w:t>
      </w:r>
      <w:r>
        <w:t xml:space="preserve">for the Utilities Select Sector SPDR ETF over the same period. That leaves the stock without an obviously stretched pre-earnings setup and raises the importance of credible confirmation that the 2027–29 acceleration thesis remains intact.</w:t>
      </w:r>
    </w:p>
    <w:bookmarkEnd w:id="23"/>
    <w:bookmarkStart w:id="24" w:name="bottom-line"/>
    <w:p>
      <w:pPr>
        <w:pStyle w:val="Heading2"/>
      </w:pPr>
      <w:r>
        <w:t xml:space="preserve">Bottom line</w:t>
      </w:r>
    </w:p>
    <w:p>
      <w:pPr>
        <w:pStyle w:val="FirstParagraph"/>
      </w:pPr>
      <w:r>
        <w:t xml:space="preserve">PPL’s base regulated story appears intact: 1Q established a solid starting point, Pennsylvania rates are now effective, and the company continues to target 6%–8% annual EPS growth through at least 2029. (</w:t>
      </w:r>
      <w:hyperlink r:id="rId10">
        <w:r>
          <w:rPr>
            <w:rStyle w:val="Hyperlink"/>
          </w:rPr>
          <w:t xml:space="preserve">investors.pplweb.com</w:t>
        </w:r>
      </w:hyperlink>
      <w:r>
        <w:t xml:space="preserve">)</w:t>
      </w:r>
    </w:p>
    <w:p>
      <w:pPr>
        <w:pStyle w:val="BodyText"/>
      </w:pPr>
      <w:r>
        <w:t xml:space="preserve">For the August 7 report, the key is not whether PPL modestly beats or misses a quarterly figure. Investors should focus on whether management:</w:t>
      </w:r>
    </w:p>
    <w:p>
      <w:pPr>
        <w:pStyle w:val="Compact"/>
        <w:numPr>
          <w:ilvl w:val="0"/>
          <w:numId w:val="1005"/>
        </w:numPr>
      </w:pPr>
      <w:r>
        <w:rPr>
          <w:b/>
          <w:bCs/>
        </w:rPr>
        <w:t xml:space="preserve">Reaffirms 2026 guidance cleanly;</w:t>
      </w:r>
    </w:p>
    <w:p>
      <w:pPr>
        <w:pStyle w:val="Compact"/>
        <w:numPr>
          <w:ilvl w:val="0"/>
          <w:numId w:val="1005"/>
        </w:numPr>
      </w:pPr>
      <w:r>
        <w:rPr>
          <w:b/>
          <w:bCs/>
        </w:rPr>
        <w:t xml:space="preserve">Provides confidence in Kentucky’s pending rehearing decision;</w:t>
      </w:r>
    </w:p>
    <w:p>
      <w:pPr>
        <w:pStyle w:val="Compact"/>
        <w:numPr>
          <w:ilvl w:val="0"/>
          <w:numId w:val="1005"/>
        </w:numPr>
      </w:pPr>
      <w:r>
        <w:rPr>
          <w:b/>
          <w:bCs/>
        </w:rPr>
        <w:t xml:space="preserve">Advances Rhode Island rate-case visibility;</w:t>
      </w:r>
    </w:p>
    <w:p>
      <w:pPr>
        <w:pStyle w:val="Compact"/>
        <w:numPr>
          <w:ilvl w:val="0"/>
          <w:numId w:val="1005"/>
        </w:numPr>
      </w:pPr>
      <w:r>
        <w:rPr>
          <w:b/>
          <w:bCs/>
        </w:rPr>
        <w:t xml:space="preserve">Shows conversion of the Pennsylvania data-center pipeline into funded transmission investment;</w:t>
      </w:r>
      <w:r>
        <w:t xml:space="preserve"> </w:t>
      </w:r>
      <w:r>
        <w:t xml:space="preserve">and</w:t>
      </w:r>
    </w:p>
    <w:p>
      <w:pPr>
        <w:pStyle w:val="Compact"/>
        <w:numPr>
          <w:ilvl w:val="0"/>
          <w:numId w:val="1005"/>
        </w:numPr>
      </w:pPr>
      <w:r>
        <w:rPr>
          <w:b/>
          <w:bCs/>
        </w:rPr>
        <w:t xml:space="preserve">Moves the Blackstone JV from development activity toward signed, contracted generation projects.</w:t>
      </w:r>
    </w:p>
    <w:p>
      <w:pPr>
        <w:pStyle w:val="FirstParagraph"/>
      </w:pPr>
      <w:r>
        <w:t xml:space="preserve">A clean guidance reaffirmation plus concrete evidence of contracted load or ESSA progress would strengthen the upside narrative. Conversely, regulatory uncertainty, cost pressure, or another quarter of JV commentary without commercial milestones would likely keep PPL valued primarily as a steady regulated utility rather than a differentiated power-demand growth story.</w:t>
      </w:r>
    </w:p>
    <w:bookmarkEnd w:id="24"/>
    <w:bookmarkEnd w:id="2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10" Target="https://investors.pplweb.com/2026-05-08-PPL-Corporation-delivers-solid-first-quarter-2026-earnings-reaffirms-full-year-guidance-and-long-term-growth-targets?utm_source=openai" TargetMode="External" /><Relationship Type="http://schemas.openxmlformats.org/officeDocument/2006/relationships/hyperlink" Id="rId9" Target="https://investors.pplweb.com/2026-07-17-PPL-Corporation-to-Conduct-Webcast-on-Second-Quarter-2026-Earnings-Results?utm_source=openai" TargetMode="External" /><Relationship Type="http://schemas.openxmlformats.org/officeDocument/2006/relationships/hyperlink" Id="rId13" Target="https://investors.pplweb.com/investor-news?asPDF=1&amp;utm_source=openai" TargetMode="External" /><Relationship Type="http://schemas.openxmlformats.org/officeDocument/2006/relationships/hyperlink" Id="rId15" Target="https://news.pplweb.com/2026-05-08-PPL-Corporation-delivers-solid-first-quarter-2026-earnings-reaffirms-full-year-guidance-and-long-term-growth-targets?utm_source=openai" TargetMode="External" /><Relationship Type="http://schemas.openxmlformats.org/officeDocument/2006/relationships/hyperlink" Id="rId21" Target="https://news.pplweb.com/?utm_source=openai" TargetMode="External" /><Relationship Type="http://schemas.openxmlformats.org/officeDocument/2006/relationships/hyperlink" Id="rId17" Target="https://psc.ky.gov/Case/ViewCaseFilings/2025-00113?utm_source=openai" TargetMode="External" /><Relationship Type="http://schemas.openxmlformats.org/officeDocument/2006/relationships/hyperlink" Id="rId19" Target="https://ripuc.ri.gov/sites/g/files/xkgbur841/files/2026-03/Docket%2025-55-NG%20-%20Proposed%20FY%202027%20Gas%20ISR%20Plan%20-%20RI%20Energy%20Responses%20to%20PUC%27s%20Data%20Requests%20Set%202%20-%2003-02-2026.pdf?utm_source=openai" TargetMode="External" /></Relationships>
</file>

<file path=word/_rels/footnotes.xml.rels><?xml version="1.0" encoding="UTF-8"?><Relationships xmlns="http://schemas.openxmlformats.org/package/2006/relationships"><Relationship Type="http://schemas.openxmlformats.org/officeDocument/2006/relationships/hyperlink" Id="rId10" Target="https://investors.pplweb.com/2026-05-08-PPL-Corporation-delivers-solid-first-quarter-2026-earnings-reaffirms-full-year-guidance-and-long-term-growth-targets?utm_source=openai" TargetMode="External" /><Relationship Type="http://schemas.openxmlformats.org/officeDocument/2006/relationships/hyperlink" Id="rId9" Target="https://investors.pplweb.com/2026-07-17-PPL-Corporation-to-Conduct-Webcast-on-Second-Quarter-2026-Earnings-Results?utm_source=openai" TargetMode="External" /><Relationship Type="http://schemas.openxmlformats.org/officeDocument/2006/relationships/hyperlink" Id="rId13" Target="https://investors.pplweb.com/investor-news?asPDF=1&amp;utm_source=openai" TargetMode="External" /><Relationship Type="http://schemas.openxmlformats.org/officeDocument/2006/relationships/hyperlink" Id="rId15" Target="https://news.pplweb.com/2026-05-08-PPL-Corporation-delivers-solid-first-quarter-2026-earnings-reaffirms-full-year-guidance-and-long-term-growth-targets?utm_source=openai" TargetMode="External" /><Relationship Type="http://schemas.openxmlformats.org/officeDocument/2006/relationships/hyperlink" Id="rId21" Target="https://news.pplweb.com/?utm_source=openai" TargetMode="External" /><Relationship Type="http://schemas.openxmlformats.org/officeDocument/2006/relationships/hyperlink" Id="rId17" Target="https://psc.ky.gov/Case/ViewCaseFilings/2025-00113?utm_source=openai" TargetMode="External" /><Relationship Type="http://schemas.openxmlformats.org/officeDocument/2006/relationships/hyperlink" Id="rId19" Target="https://ripuc.ri.gov/sites/g/files/xkgbur841/files/2026-03/Docket%2025-55-NG%20-%20Proposed%20FY%202027%20Gas%20ISR%20Plan%20-%20RI%20Energy%20Responses%20to%20PUC%27s%20Data%20Requests%20Set%202%20-%2003-02-2026.pdf?utm_source=openai"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2026-08-07T00:08:15Z</dcterms:created>
  <dcterms:modified xsi:type="dcterms:W3CDTF">2026-08-07T00:08:15Z</dcterms:modified>
</cp:coreProperties>
</file>

<file path=docProps/custom.xml><?xml version="1.0" encoding="utf-8"?>
<Properties xmlns="http://schemas.openxmlformats.org/officeDocument/2006/custom-properties" xmlns:vt="http://schemas.openxmlformats.org/officeDocument/2006/docPropsVTypes"/>
</file>