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PPL Corporation (PPL)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PPL Corporation</w:t>
            </w:r>
          </w:p>
        </w:tc>
      </w:tr>
      <w:tr>
        <w:tc>
          <w:tcPr>
            <w:tcW w:type="dxa" w:w="4320"/>
          </w:tcPr>
          <w:p>
            <w:r>
              <w:rPr>
                <w:rFonts w:ascii="Calibri" w:hAnsi="Calibri"/>
                <w:b/>
                <w:sz w:val="22"/>
              </w:rPr>
              <w:t>Ticker</w:t>
            </w:r>
          </w:p>
        </w:tc>
        <w:tc>
          <w:tcPr>
            <w:tcW w:type="dxa" w:w="4320"/>
          </w:tcPr>
          <w:p>
            <w:r>
              <w:rPr>
                <w:rFonts w:ascii="Calibri" w:hAnsi="Calibri"/>
                <w:sz w:val="22"/>
              </w:rPr>
              <w:t>PPL (NYSE)</w:t>
            </w:r>
          </w:p>
        </w:tc>
      </w:tr>
      <w:tr>
        <w:tc>
          <w:tcPr>
            <w:tcW w:type="dxa" w:w="4320"/>
          </w:tcPr>
          <w:p>
            <w:r>
              <w:rPr>
                <w:rFonts w:ascii="Calibri" w:hAnsi="Calibri"/>
                <w:b/>
                <w:sz w:val="22"/>
              </w:rPr>
              <w:t>Upcoming Earnings</w:t>
            </w:r>
          </w:p>
        </w:tc>
        <w:tc>
          <w:tcPr>
            <w:tcW w:type="dxa" w:w="4320"/>
          </w:tcPr>
          <w:p>
            <w:r>
              <w:rPr>
                <w:rFonts w:ascii="Calibri" w:hAnsi="Calibri"/>
                <w:sz w:val="22"/>
              </w:rPr>
              <w:t>Q2 2026 (expected mid-August 2026)</w:t>
            </w:r>
          </w:p>
        </w:tc>
      </w:tr>
      <w:tr>
        <w:tc>
          <w:tcPr>
            <w:tcW w:type="dxa" w:w="4320"/>
          </w:tcPr>
          <w:p>
            <w:r>
              <w:rPr>
                <w:rFonts w:ascii="Calibri" w:hAnsi="Calibri"/>
                <w:b/>
                <w:sz w:val="22"/>
              </w:rPr>
              <w:t>Last Reported</w:t>
            </w:r>
          </w:p>
        </w:tc>
        <w:tc>
          <w:tcPr>
            <w:tcW w:type="dxa" w:w="4320"/>
          </w:tcPr>
          <w:p>
            <w:r>
              <w:rPr>
                <w:rFonts w:ascii="Calibri" w:hAnsi="Calibri"/>
                <w:sz w:val="22"/>
              </w:rPr>
              <w:t>Q1 2026 — May 8, 2026</w:t>
            </w:r>
          </w:p>
        </w:tc>
      </w:tr>
      <w:tr>
        <w:tc>
          <w:tcPr>
            <w:tcW w:type="dxa" w:w="4320"/>
          </w:tcPr>
          <w:p>
            <w:r>
              <w:rPr>
                <w:rFonts w:ascii="Calibri" w:hAnsi="Calibri"/>
                <w:b/>
                <w:sz w:val="22"/>
              </w:rPr>
              <w:t>Prepared</w:t>
            </w:r>
          </w:p>
        </w:tc>
        <w:tc>
          <w:tcPr>
            <w:tcW w:type="dxa" w:w="4320"/>
          </w:tcPr>
          <w:p>
            <w:r>
              <w:rPr>
                <w:rFonts w:ascii="Calibri" w:hAnsi="Calibri"/>
                <w:sz w:val="22"/>
              </w:rPr>
              <w:t>August 6, 2026</w:t>
            </w:r>
          </w:p>
        </w:tc>
      </w:tr>
      <w:tr>
        <w:tc>
          <w:tcPr>
            <w:tcW w:type="dxa" w:w="4320"/>
          </w:tcPr>
          <w:p>
            <w:r>
              <w:rPr>
                <w:rFonts w:ascii="Calibri" w:hAnsi="Calibri"/>
                <w:b/>
                <w:sz w:val="22"/>
              </w:rPr>
              <w:t>Sector ETF</w:t>
            </w:r>
          </w:p>
        </w:tc>
        <w:tc>
          <w:tcPr>
            <w:tcW w:type="dxa" w:w="4320"/>
          </w:tcPr>
          <w:p>
            <w:r>
              <w:rPr>
                <w:rFonts w:ascii="Calibri" w:hAnsi="Calibri"/>
                <w:sz w:val="22"/>
              </w:rPr>
              <w:t>XLU (Utilities Select Sector SPDR)</w:t>
            </w:r>
          </w:p>
        </w:tc>
      </w:tr>
    </w:tbl>
    <w:p>
      <w:r>
        <w:br w:type="page"/>
      </w:r>
    </w:p>
    <w:p>
      <w:pPr>
        <w:pStyle w:val="Heading1"/>
        <w:pBdr>
          <w:bottom w:val="single" w:sz="4" w:space="1" w:color="FB9120"/>
        </w:pBdr>
      </w:pPr>
      <w:r>
        <w:rPr>
          <w:rFonts w:ascii="Calibri" w:hAnsi="Calibri"/>
          <w:b/>
          <w:color w:val="3B4259"/>
          <w:sz w:val="40"/>
        </w:rPr>
        <w:t>1. Earnings Preview</w:t>
      </w:r>
    </w:p>
    <w:p>
      <w:r>
        <w:rPr>
          <w:rFonts w:ascii="Calibri" w:hAnsi="Calibri"/>
          <w:b/>
          <w:color w:val="525866"/>
          <w:sz w:val="22"/>
        </w:rPr>
        <w:t xml:space="preserve">Key Takeaway: </w:t>
      </w:r>
      <w:r>
        <w:rPr>
          <w:rFonts w:ascii="Calibri" w:hAnsi="Calibri"/>
          <w:color w:val="525866"/>
          <w:sz w:val="22"/>
        </w:rPr>
        <w:t>The setup into Q2 2026 is modestly constructive — consensus sits at a low bar ($0.33 ongoing EPS vs. $0.32 actual in Q2 2025) and PPL has a consistent history of beating, but the real story is whether management delivers a meaningful Blackstone JV announcement and confirms the Pennsylvania rate case final order, the two catalysts that could re-rate the stock.</w:t>
      </w:r>
    </w:p>
    <w:p>
      <w:r>
        <w:rPr>
          <w:rFonts w:ascii="Calibri" w:hAnsi="Calibri"/>
          <w:color w:val="525866"/>
          <w:sz w:val="22"/>
        </w:rPr>
        <w:t xml:space="preserve">PPL heads into Q2 2026 earnings with a straightforward bar: consensus ongoing EPS of $0.33 represents only a penny of year-over-year growth, a low hurdle given the company’s track record of beating by $0.03–$0.07 per share. Management reaffirmed full-year 2026 guidance of $1.90–$1.98 on the Q1 call and guided to “at least the midpoint” ($1.94), leaving the full-year trajectory intact regardless of Q2 noise. Estimate revisions have been essentially flat since the Q1 print — FY2026 consensus of $1.95 is nearly unchanged from the $1.95 baseline set five days post-Q1 — suggesting the Street is comfortable with guidance but not pricing in upside. The stock has drifted ~3.6% lower since the May 8 earnings date (from $35.91 to $34.62 as of August 7), underperforming the broader market, which means the multiple has compressed slightly and the stock is not pricing in a beat. The single biggest wildcard is the </w:t>
      </w:r>
      <w:r>
        <w:rPr>
          <w:rFonts w:ascii="Calibri" w:hAnsi="Calibri"/>
          <w:b/>
          <w:color w:val="525866"/>
          <w:sz w:val="22"/>
        </w:rPr>
        <w:t>Blackstone JV commercial announcement</w:t>
      </w:r>
      <w:r>
        <w:rPr>
          <w:rFonts w:ascii="Calibri" w:hAnsi="Calibri"/>
          <w:color w:val="525866"/>
          <w:sz w:val="22"/>
        </w:rPr>
        <w:t>: CEO Vince Sorgi said on the Q1 call he would “be surprised” if PPL didn’t announce something meaningful in 2026, and any signed energy supply services agreement with a hyperscaler would be a material positive catalyst not in the current plan or consensus numbers.</w:t>
      </w:r>
    </w:p>
    <w:p>
      <w:r>
        <w:br w:type="page"/>
      </w:r>
    </w:p>
    <w:p>
      <w:pPr>
        <w:pStyle w:val="Heading1"/>
        <w:pBdr>
          <w:bottom w:val="single" w:sz="4" w:space="1" w:color="FB9120"/>
        </w:pBdr>
      </w:pPr>
      <w:r>
        <w:rPr>
          <w:rFonts w:ascii="Calibri" w:hAnsi="Calibri"/>
          <w:b/>
          <w:color w:val="3B4259"/>
          <w:sz w:val="40"/>
        </w:rPr>
        <w:t>2. KPIs &amp; Consensus Expectations</w:t>
      </w:r>
    </w:p>
    <w:p>
      <w:r>
        <w:rPr>
          <w:rFonts w:ascii="Calibri" w:hAnsi="Calibri"/>
          <w:b/>
          <w:color w:val="525866"/>
          <w:sz w:val="22"/>
        </w:rPr>
        <w:t xml:space="preserve">Key Takeaway: </w:t>
      </w:r>
      <w:r>
        <w:rPr>
          <w:rFonts w:ascii="Calibri" w:hAnsi="Calibri"/>
          <w:color w:val="525866"/>
          <w:sz w:val="22"/>
        </w:rPr>
        <w:t>Consensus sets a low bar on ongoing EPS ($0.33 vs. $0.32 prior year), and the revenue estimate of ~$1.99B is well below the Q1 2026 actual of $2.77B (Q2 is seasonally lighter). The bigger swing factor is whether transmission revenue and Kentucky rate recovery continue to outperform, as they did in Q1.</w:t>
      </w:r>
    </w:p>
    <w:p>
      <w:pPr>
        <w:pStyle w:val="Heading2"/>
      </w:pPr>
      <w:r>
        <w:rPr>
          <w:rFonts w:ascii="Calibri" w:hAnsi="Calibri"/>
          <w:b/>
          <w:color w:val="3B4259"/>
          <w:sz w:val="28"/>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 (Last Quarter)</w:t>
            </w:r>
          </w:p>
        </w:tc>
        <w:tc>
          <w:tcPr>
            <w:tcW w:type="dxa" w:w="1234"/>
            <w:shd w:val="clear" w:color="auto" w:fill="3B4259"/>
          </w:tcPr>
          <w:p>
            <w:r>
              <w:rPr>
                <w:rFonts w:ascii="Calibri" w:hAnsi="Calibri"/>
                <w:b/>
                <w:color w:val="FFFFFF"/>
                <w:sz w:val="22"/>
              </w:rPr>
              <w:t>Q2 2025 Actual (Prior Year Period)</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FY2026 Guidance</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Ongoing EPS (Diluted)</w:t>
            </w:r>
          </w:p>
        </w:tc>
        <w:tc>
          <w:tcPr>
            <w:tcW w:type="dxa" w:w="1234"/>
          </w:tcPr>
          <w:p>
            <w:r>
              <w:rPr>
                <w:rFonts w:ascii="Calibri" w:hAnsi="Calibri"/>
                <w:sz w:val="22"/>
              </w:rPr>
              <w:t>$0.63</w:t>
            </w:r>
          </w:p>
        </w:tc>
        <w:tc>
          <w:tcPr>
            <w:tcW w:type="dxa" w:w="1234"/>
          </w:tcPr>
          <w:p>
            <w:r>
              <w:rPr>
                <w:rFonts w:ascii="Calibri" w:hAnsi="Calibri"/>
                <w:sz w:val="22"/>
              </w:rPr>
              <w:t>$0.32</w:t>
            </w:r>
          </w:p>
        </w:tc>
        <w:tc>
          <w:tcPr>
            <w:tcW w:type="dxa" w:w="1234"/>
          </w:tcPr>
          <w:p>
            <w:r>
              <w:rPr>
                <w:rFonts w:ascii="Calibri" w:hAnsi="Calibri"/>
                <w:sz w:val="22"/>
              </w:rPr>
              <w:t>$0.33</w:t>
            </w:r>
          </w:p>
        </w:tc>
        <w:tc>
          <w:tcPr>
            <w:tcW w:type="dxa" w:w="1234"/>
          </w:tcPr>
          <w:p>
            <w:r>
              <w:rPr>
                <w:rFonts w:ascii="Calibri" w:hAnsi="Calibri"/>
                <w:sz w:val="22"/>
              </w:rPr>
              <w:t>+3.1%</w:t>
            </w:r>
          </w:p>
        </w:tc>
        <w:tc>
          <w:tcPr>
            <w:tcW w:type="dxa" w:w="1234"/>
          </w:tcPr>
          <w:p>
            <w:r>
              <w:rPr>
                <w:rFonts w:ascii="Calibri" w:hAnsi="Calibri"/>
                <w:sz w:val="22"/>
              </w:rPr>
              <w:t>$1.90–$1.98 ($1.94 midpoint)</w:t>
            </w:r>
          </w:p>
        </w:tc>
        <w:tc>
          <w:tcPr>
            <w:tcW w:type="dxa" w:w="1234"/>
          </w:tcPr>
          <w:p>
            <w:r>
              <w:rPr>
                <w:rFonts w:ascii="Calibri" w:hAnsi="Calibri"/>
                <w:sz w:val="22"/>
              </w:rPr>
              <w:t>FY cons. $1.95 = +0.5% vs. midpoint</w:t>
            </w:r>
          </w:p>
        </w:tc>
      </w:tr>
      <w:tr>
        <w:tc>
          <w:tcPr>
            <w:tcW w:type="dxa" w:w="1234"/>
          </w:tcPr>
          <w:p>
            <w:r>
              <w:rPr>
                <w:rFonts w:ascii="Calibri" w:hAnsi="Calibri"/>
                <w:sz w:val="22"/>
              </w:rPr>
              <w:t>Operating Revenues</w:t>
            </w:r>
          </w:p>
        </w:tc>
        <w:tc>
          <w:tcPr>
            <w:tcW w:type="dxa" w:w="1234"/>
          </w:tcPr>
          <w:p>
            <w:r>
              <w:rPr>
                <w:rFonts w:ascii="Calibri" w:hAnsi="Calibri"/>
                <w:sz w:val="22"/>
              </w:rPr>
              <w:t>$2,774M</w:t>
            </w:r>
          </w:p>
        </w:tc>
        <w:tc>
          <w:tcPr>
            <w:tcW w:type="dxa" w:w="1234"/>
          </w:tcPr>
          <w:p>
            <w:r>
              <w:rPr>
                <w:rFonts w:ascii="Calibri" w:hAnsi="Calibri"/>
                <w:sz w:val="22"/>
              </w:rPr>
              <w:t>$2,025M</w:t>
            </w:r>
          </w:p>
        </w:tc>
        <w:tc>
          <w:tcPr>
            <w:tcW w:type="dxa" w:w="1234"/>
          </w:tcPr>
          <w:p>
            <w:r>
              <w:rPr>
                <w:rFonts w:ascii="Calibri" w:hAnsi="Calibri"/>
                <w:sz w:val="22"/>
              </w:rPr>
              <w:t>$1,990M</w:t>
            </w:r>
          </w:p>
        </w:tc>
        <w:tc>
          <w:tcPr>
            <w:tcW w:type="dxa" w:w="1234"/>
          </w:tcPr>
          <w:p>
            <w:r>
              <w:rPr>
                <w:rFonts w:ascii="Calibri" w:hAnsi="Calibri"/>
                <w:sz w:val="22"/>
              </w:rPr>
              <w:t>-1.7%</w:t>
            </w:r>
          </w:p>
        </w:tc>
        <w:tc>
          <w:tcPr>
            <w:tcW w:type="dxa" w:w="1234"/>
          </w:tcPr>
          <w:p>
            <w:r>
              <w:rPr>
                <w:rFonts w:ascii="Calibri" w:hAnsi="Calibri"/>
                <w:sz w:val="22"/>
              </w:rPr>
              <w:t>N/A (no quarterly rev. guidance)</w:t>
            </w:r>
          </w:p>
        </w:tc>
        <w:tc>
          <w:tcPr>
            <w:tcW w:type="dxa" w:w="1234"/>
          </w:tcPr>
          <w:p>
            <w:r>
              <w:rPr>
                <w:rFonts w:ascii="Calibri" w:hAnsi="Calibri"/>
                <w:sz w:val="22"/>
              </w:rPr>
              <w:t>N/A</w:t>
            </w:r>
          </w:p>
        </w:tc>
      </w:tr>
      <w:tr>
        <w:tc>
          <w:tcPr>
            <w:tcW w:type="dxa" w:w="1234"/>
          </w:tcPr>
          <w:p>
            <w:r>
              <w:rPr>
                <w:rFonts w:ascii="Calibri" w:hAnsi="Calibri"/>
                <w:sz w:val="22"/>
              </w:rPr>
              <w:t>Total Rate Base</w:t>
            </w:r>
          </w:p>
        </w:tc>
        <w:tc>
          <w:tcPr>
            <w:tcW w:type="dxa" w:w="1234"/>
          </w:tcPr>
          <w:p>
            <w:r>
              <w:rPr>
                <w:rFonts w:ascii="Calibri" w:hAnsi="Calibri"/>
                <w:sz w:val="22"/>
              </w:rPr>
              <w:t>N/A (Q1 2026 not yet reported in VA)</w:t>
            </w:r>
          </w:p>
        </w:tc>
        <w:tc>
          <w:tcPr>
            <w:tcW w:type="dxa" w:w="1234"/>
          </w:tcPr>
          <w:p>
            <w:r>
              <w:rPr>
                <w:rFonts w:ascii="Calibri" w:hAnsi="Calibri"/>
                <w:sz w:val="22"/>
              </w:rPr>
              <w:t>$22.5B</w:t>
            </w:r>
          </w:p>
        </w:tc>
        <w:tc>
          <w:tcPr>
            <w:tcW w:type="dxa" w:w="1234"/>
          </w:tcPr>
          <w:p>
            <w:r>
              <w:rPr>
                <w:rFonts w:ascii="Calibri" w:hAnsi="Calibri"/>
                <w:sz w:val="22"/>
              </w:rPr>
              <w:t>$24.9B</w:t>
            </w:r>
          </w:p>
        </w:tc>
        <w:tc>
          <w:tcPr>
            <w:tcW w:type="dxa" w:w="1234"/>
          </w:tcPr>
          <w:p>
            <w:r>
              <w:rPr>
                <w:rFonts w:ascii="Calibri" w:hAnsi="Calibri"/>
                <w:sz w:val="22"/>
              </w:rPr>
              <w:t>+10.5%</w:t>
            </w:r>
          </w:p>
        </w:tc>
        <w:tc>
          <w:tcPr>
            <w:tcW w:type="dxa" w:w="1234"/>
          </w:tcPr>
          <w:p>
            <w:r>
              <w:rPr>
                <w:rFonts w:ascii="Calibri" w:hAnsi="Calibri"/>
                <w:sz w:val="22"/>
              </w:rPr>
              <w:t>~$31.2B by FY2026 end (cons.)</w:t>
            </w:r>
          </w:p>
        </w:tc>
        <w:tc>
          <w:tcPr>
            <w:tcW w:type="dxa" w:w="1234"/>
          </w:tcPr>
          <w:p>
            <w:r>
              <w:rPr>
                <w:rFonts w:ascii="Calibri" w:hAnsi="Calibri"/>
                <w:sz w:val="22"/>
              </w:rPr>
              <w:t>N/A</w:t>
            </w:r>
          </w:p>
        </w:tc>
      </w:tr>
      <w:tr>
        <w:tc>
          <w:tcPr>
            <w:tcW w:type="dxa" w:w="1234"/>
          </w:tcPr>
          <w:p>
            <w:r>
              <w:rPr>
                <w:rFonts w:ascii="Calibri" w:hAnsi="Calibri"/>
                <w:sz w:val="22"/>
              </w:rPr>
              <w:t>CapEx (Expenditures for PP&amp;E)</w:t>
            </w:r>
          </w:p>
        </w:tc>
        <w:tc>
          <w:tcPr>
            <w:tcW w:type="dxa" w:w="1234"/>
          </w:tcPr>
          <w:p>
            <w:r>
              <w:rPr>
                <w:rFonts w:ascii="Calibri" w:hAnsi="Calibri"/>
                <w:sz w:val="22"/>
              </w:rPr>
              <w:t>$1,058M</w:t>
            </w:r>
          </w:p>
        </w:tc>
        <w:tc>
          <w:tcPr>
            <w:tcW w:type="dxa" w:w="1234"/>
          </w:tcPr>
          <w:p>
            <w:r>
              <w:rPr>
                <w:rFonts w:ascii="Calibri" w:hAnsi="Calibri"/>
                <w:sz w:val="22"/>
              </w:rPr>
              <w:t>$930M</w:t>
            </w:r>
          </w:p>
        </w:tc>
        <w:tc>
          <w:tcPr>
            <w:tcW w:type="dxa" w:w="1234"/>
          </w:tcPr>
          <w:p>
            <w:r>
              <w:rPr>
                <w:rFonts w:ascii="Calibri" w:hAnsi="Calibri"/>
                <w:sz w:val="22"/>
              </w:rPr>
              <w:t>$1,135M</w:t>
            </w:r>
          </w:p>
        </w:tc>
        <w:tc>
          <w:tcPr>
            <w:tcW w:type="dxa" w:w="1234"/>
          </w:tcPr>
          <w:p>
            <w:r>
              <w:rPr>
                <w:rFonts w:ascii="Calibri" w:hAnsi="Calibri"/>
                <w:sz w:val="22"/>
              </w:rPr>
              <w:t>+22.0%</w:t>
            </w:r>
          </w:p>
        </w:tc>
        <w:tc>
          <w:tcPr>
            <w:tcW w:type="dxa" w:w="1234"/>
          </w:tcPr>
          <w:p>
            <w:r>
              <w:rPr>
                <w:rFonts w:ascii="Calibri" w:hAnsi="Calibri"/>
                <w:sz w:val="22"/>
              </w:rPr>
              <w:t>$5.1B full year (mgmt. guidance)</w:t>
            </w:r>
          </w:p>
        </w:tc>
        <w:tc>
          <w:tcPr>
            <w:tcW w:type="dxa" w:w="1234"/>
          </w:tcPr>
          <w:p>
            <w:r>
              <w:rPr>
                <w:rFonts w:ascii="Calibri" w:hAnsi="Calibri"/>
                <w:sz w:val="22"/>
              </w:rPr>
              <w:t>FY cons. $4.93B = -3.3% vs. mgmt.</w:t>
            </w:r>
          </w:p>
        </w:tc>
      </w:tr>
      <w:tr>
        <w:tc>
          <w:tcPr>
            <w:tcW w:type="dxa" w:w="1234"/>
          </w:tcPr>
          <w:p>
            <w:r>
              <w:rPr>
                <w:rFonts w:ascii="Calibri" w:hAnsi="Calibri"/>
                <w:sz w:val="22"/>
              </w:rPr>
              <w:t>Dividend Per Share</w:t>
            </w:r>
          </w:p>
        </w:tc>
        <w:tc>
          <w:tcPr>
            <w:tcW w:type="dxa" w:w="1234"/>
          </w:tcPr>
          <w:p>
            <w:r>
              <w:rPr>
                <w:rFonts w:ascii="Calibri" w:hAnsi="Calibri"/>
                <w:sz w:val="22"/>
              </w:rPr>
              <w:t>$0.282</w:t>
            </w:r>
          </w:p>
        </w:tc>
        <w:tc>
          <w:tcPr>
            <w:tcW w:type="dxa" w:w="1234"/>
          </w:tcPr>
          <w:p>
            <w:r>
              <w:rPr>
                <w:rFonts w:ascii="Calibri" w:hAnsi="Calibri"/>
                <w:sz w:val="22"/>
              </w:rPr>
              <w:t>$0.273</w:t>
            </w:r>
          </w:p>
        </w:tc>
        <w:tc>
          <w:tcPr>
            <w:tcW w:type="dxa" w:w="1234"/>
          </w:tcPr>
          <w:p>
            <w:r>
              <w:rPr>
                <w:rFonts w:ascii="Calibri" w:hAnsi="Calibri"/>
                <w:sz w:val="22"/>
              </w:rPr>
              <w:t>$0.288</w:t>
            </w:r>
          </w:p>
        </w:tc>
        <w:tc>
          <w:tcPr>
            <w:tcW w:type="dxa" w:w="1234"/>
          </w:tcPr>
          <w:p>
            <w:r>
              <w:rPr>
                <w:rFonts w:ascii="Calibri" w:hAnsi="Calibri"/>
                <w:sz w:val="22"/>
              </w:rPr>
              <w:t>+5.5%</w:t>
            </w:r>
          </w:p>
        </w:tc>
        <w:tc>
          <w:tcPr>
            <w:tcW w:type="dxa" w:w="1234"/>
          </w:tcPr>
          <w:p>
            <w:r>
              <w:rPr>
                <w:rFonts w:ascii="Calibri" w:hAnsi="Calibri"/>
                <w:sz w:val="22"/>
              </w:rPr>
              <w:t>4–6% annual DPS growth target</w:t>
            </w:r>
          </w:p>
        </w:tc>
        <w:tc>
          <w:tcPr>
            <w:tcW w:type="dxa" w:w="1234"/>
          </w:tcPr>
          <w:p>
            <w:r>
              <w:rPr>
                <w:rFonts w:ascii="Calibri" w:hAnsi="Calibri"/>
                <w:sz w:val="22"/>
              </w:rPr>
              <w:t>On track</w:t>
            </w:r>
          </w:p>
        </w:tc>
      </w:tr>
    </w:tbl>
    <w:p>
      <w:r>
        <w:rPr>
          <w:rFonts w:ascii="Calibri" w:hAnsi="Calibri"/>
          <w:i/>
          <w:color w:val="525866"/>
          <w:sz w:val="22"/>
        </w:rPr>
        <w:t>Sources: Visible Alpha Consensus and Actuals Data; PPL Q1 2026 Earnings Release (May 8, 2026). Q2 2026 consensus estimates as of August 6, 2026. Revenue consensus of ~$1,990M reflects seasonal Q2 pattern (Q2 is historically the lightest revenue quarter). Rate base consensus reflects end-of-period estimates. Note: Q2 2025 revenue actual was $2,025M; Q2 2026 consensus of $1,990M implies a slight YoY decline, consistent with seasonal patterns and the timing of new rate recovery.</w:t>
      </w:r>
    </w:p>
    <w:p>
      <w:pPr>
        <w:pStyle w:val="Heading2"/>
      </w:pPr>
      <w:r>
        <w:rPr>
          <w:rFonts w:ascii="Calibri" w:hAnsi="Calibri"/>
          <w:b/>
          <w:color w:val="3B4259"/>
          <w:sz w:val="28"/>
        </w:rPr>
        <w:t>Table 2 — Beat/Miss History (Last 8 Quarters, Top 2 KPIs)</w:t>
      </w:r>
    </w:p>
    <w:p>
      <w:pPr>
        <w:pStyle w:val="Heading3"/>
      </w:pPr>
      <w:r>
        <w:rPr>
          <w:rFonts w:ascii="Calibri" w:hAnsi="Calibri"/>
          <w:b/>
          <w:color w:val="3B4259"/>
          <w:sz w:val="24"/>
        </w:rPr>
        <w:t>Ongoing EPS (Diluted)</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$0.63</w:t>
            </w:r>
          </w:p>
        </w:tc>
        <w:tc>
          <w:tcPr>
            <w:tcW w:type="dxa" w:w="1728"/>
          </w:tcPr>
          <w:p>
            <w:r>
              <w:rPr>
                <w:rFonts w:ascii="Calibri" w:hAnsi="Calibri"/>
                <w:sz w:val="22"/>
              </w:rPr>
              <w:t>$0.59</w:t>
            </w:r>
          </w:p>
        </w:tc>
        <w:tc>
          <w:tcPr>
            <w:tcW w:type="dxa" w:w="1728"/>
          </w:tcPr>
          <w:p>
            <w:r>
              <w:rPr>
                <w:rFonts w:ascii="Calibri" w:hAnsi="Calibri"/>
                <w:sz w:val="22"/>
              </w:rPr>
              <w:t>+6.8%</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$0.41</w:t>
            </w:r>
          </w:p>
        </w:tc>
        <w:tc>
          <w:tcPr>
            <w:tcW w:type="dxa" w:w="1728"/>
          </w:tcPr>
          <w:p>
            <w:r>
              <w:rPr>
                <w:rFonts w:ascii="Calibri" w:hAnsi="Calibri"/>
                <w:sz w:val="22"/>
              </w:rPr>
              <w:t>$0.41</w:t>
            </w:r>
          </w:p>
        </w:tc>
        <w:tc>
          <w:tcPr>
            <w:tcW w:type="dxa" w:w="1728"/>
          </w:tcPr>
          <w:p>
            <w:r>
              <w:rPr>
                <w:rFonts w:ascii="Calibri" w:hAnsi="Calibri"/>
                <w:sz w:val="22"/>
              </w:rPr>
              <w:t>0.0%</w:t>
            </w:r>
          </w:p>
        </w:tc>
        <w:tc>
          <w:tcPr>
            <w:tcW w:type="dxa" w:w="1728"/>
          </w:tcPr>
          <w:p>
            <w:r>
              <w:rPr>
                <w:rFonts w:ascii="Calibri" w:hAnsi="Calibri"/>
                <w:sz w:val="22"/>
              </w:rPr>
              <w:t>In Line</w:t>
            </w:r>
          </w:p>
        </w:tc>
      </w:tr>
      <w:tr>
        <w:tc>
          <w:tcPr>
            <w:tcW w:type="dxa" w:w="1728"/>
          </w:tcPr>
          <w:p>
            <w:r>
              <w:rPr>
                <w:rFonts w:ascii="Calibri" w:hAnsi="Calibri"/>
                <w:sz w:val="22"/>
              </w:rPr>
              <w:t>Q3 2025</w:t>
            </w:r>
          </w:p>
        </w:tc>
        <w:tc>
          <w:tcPr>
            <w:tcW w:type="dxa" w:w="1728"/>
          </w:tcPr>
          <w:p>
            <w:r>
              <w:rPr>
                <w:rFonts w:ascii="Calibri" w:hAnsi="Calibri"/>
                <w:sz w:val="22"/>
              </w:rPr>
              <w:t>$0.48</w:t>
            </w:r>
          </w:p>
        </w:tc>
        <w:tc>
          <w:tcPr>
            <w:tcW w:type="dxa" w:w="1728"/>
          </w:tcPr>
          <w:p>
            <w:r>
              <w:rPr>
                <w:rFonts w:ascii="Calibri" w:hAnsi="Calibri"/>
                <w:sz w:val="22"/>
              </w:rPr>
              <w:t>$0.46</w:t>
            </w:r>
          </w:p>
        </w:tc>
        <w:tc>
          <w:tcPr>
            <w:tcW w:type="dxa" w:w="1728"/>
          </w:tcPr>
          <w:p>
            <w:r>
              <w:rPr>
                <w:rFonts w:ascii="Calibri" w:hAnsi="Calibri"/>
                <w:sz w:val="22"/>
              </w:rPr>
              <w:t>+4.3%</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$0.32</w:t>
            </w:r>
          </w:p>
        </w:tc>
        <w:tc>
          <w:tcPr>
            <w:tcW w:type="dxa" w:w="1728"/>
          </w:tcPr>
          <w:p>
            <w:r>
              <w:rPr>
                <w:rFonts w:ascii="Calibri" w:hAnsi="Calibri"/>
                <w:sz w:val="22"/>
              </w:rPr>
              <w:t>N/A — not in VA for this period</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Q1 2025</w:t>
            </w:r>
          </w:p>
        </w:tc>
        <w:tc>
          <w:tcPr>
            <w:tcW w:type="dxa" w:w="1728"/>
          </w:tcPr>
          <w:p>
            <w:r>
              <w:rPr>
                <w:rFonts w:ascii="Calibri" w:hAnsi="Calibri"/>
                <w:sz w:val="22"/>
              </w:rPr>
              <w:t>$0.60</w:t>
            </w:r>
          </w:p>
        </w:tc>
        <w:tc>
          <w:tcPr>
            <w:tcW w:type="dxa" w:w="1728"/>
          </w:tcPr>
          <w:p>
            <w:r>
              <w:rPr>
                <w:rFonts w:ascii="Calibri" w:hAnsi="Calibri"/>
                <w:sz w:val="22"/>
              </w:rPr>
              <w:t>$0.54</w:t>
            </w:r>
          </w:p>
        </w:tc>
        <w:tc>
          <w:tcPr>
            <w:tcW w:type="dxa" w:w="1728"/>
          </w:tcPr>
          <w:p>
            <w:r>
              <w:rPr>
                <w:rFonts w:ascii="Calibri" w:hAnsi="Calibri"/>
                <w:sz w:val="22"/>
              </w:rPr>
              <w:t>+11.1%</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$0.34</w:t>
            </w:r>
          </w:p>
        </w:tc>
        <w:tc>
          <w:tcPr>
            <w:tcW w:type="dxa" w:w="1728"/>
          </w:tcPr>
          <w:p>
            <w:r>
              <w:rPr>
                <w:rFonts w:ascii="Calibri" w:hAnsi="Calibri"/>
                <w:sz w:val="22"/>
              </w:rPr>
              <w:t>$0.37</w:t>
            </w:r>
          </w:p>
        </w:tc>
        <w:tc>
          <w:tcPr>
            <w:tcW w:type="dxa" w:w="1728"/>
          </w:tcPr>
          <w:p>
            <w:r>
              <w:rPr>
                <w:rFonts w:ascii="Calibri" w:hAnsi="Calibri"/>
                <w:sz w:val="22"/>
              </w:rPr>
              <w:t>-8.1%</w:t>
            </w:r>
          </w:p>
        </w:tc>
        <w:tc>
          <w:tcPr>
            <w:tcW w:type="dxa" w:w="1728"/>
          </w:tcPr>
          <w:p>
            <w:r>
              <w:rPr>
                <w:rFonts w:ascii="Calibri" w:hAnsi="Calibri"/>
                <w:b/>
                <w:color w:val="E5484D"/>
                <w:sz w:val="22"/>
              </w:rPr>
              <w:t>Miss</w:t>
            </w:r>
          </w:p>
        </w:tc>
      </w:tr>
      <w:tr>
        <w:tc>
          <w:tcPr>
            <w:tcW w:type="dxa" w:w="1728"/>
          </w:tcPr>
          <w:p>
            <w:r>
              <w:rPr>
                <w:rFonts w:ascii="Calibri" w:hAnsi="Calibri"/>
                <w:sz w:val="22"/>
              </w:rPr>
              <w:t>Q3 2024</w:t>
            </w:r>
          </w:p>
        </w:tc>
        <w:tc>
          <w:tcPr>
            <w:tcW w:type="dxa" w:w="1728"/>
          </w:tcPr>
          <w:p>
            <w:r>
              <w:rPr>
                <w:rFonts w:ascii="Calibri" w:hAnsi="Calibri"/>
                <w:sz w:val="22"/>
              </w:rPr>
              <w:t>$0.42</w:t>
            </w:r>
          </w:p>
        </w:tc>
        <w:tc>
          <w:tcPr>
            <w:tcW w:type="dxa" w:w="1728"/>
          </w:tcPr>
          <w:p>
            <w:r>
              <w:rPr>
                <w:rFonts w:ascii="Calibri" w:hAnsi="Calibri"/>
                <w:sz w:val="22"/>
              </w:rPr>
              <w:t>$0.41</w:t>
            </w:r>
          </w:p>
        </w:tc>
        <w:tc>
          <w:tcPr>
            <w:tcW w:type="dxa" w:w="1728"/>
          </w:tcPr>
          <w:p>
            <w:r>
              <w:rPr>
                <w:rFonts w:ascii="Calibri" w:hAnsi="Calibri"/>
                <w:sz w:val="22"/>
              </w:rPr>
              <w:t>+2.4%</w:t>
            </w:r>
          </w:p>
        </w:tc>
        <w:tc>
          <w:tcPr>
            <w:tcW w:type="dxa" w:w="1728"/>
          </w:tcPr>
          <w:p>
            <w:r>
              <w:rPr>
                <w:rFonts w:ascii="Calibri" w:hAnsi="Calibri"/>
                <w:b/>
                <w:color w:val="30A46C"/>
                <w:sz w:val="22"/>
              </w:rPr>
              <w:t>Beat</w:t>
            </w:r>
          </w:p>
        </w:tc>
      </w:tr>
      <w:tr>
        <w:tc>
          <w:tcPr>
            <w:tcW w:type="dxa" w:w="1728"/>
          </w:tcPr>
          <w:p>
            <w:r>
              <w:rPr>
                <w:rFonts w:ascii="Calibri" w:hAnsi="Calibri"/>
                <w:sz w:val="22"/>
              </w:rPr>
              <w:t>Q2 2024</w:t>
            </w:r>
          </w:p>
        </w:tc>
        <w:tc>
          <w:tcPr>
            <w:tcW w:type="dxa" w:w="1728"/>
          </w:tcPr>
          <w:p>
            <w:r>
              <w:rPr>
                <w:rFonts w:ascii="Calibri" w:hAnsi="Calibri"/>
                <w:sz w:val="22"/>
              </w:rPr>
              <w:t>$0.38</w:t>
            </w:r>
          </w:p>
        </w:tc>
        <w:tc>
          <w:tcPr>
            <w:tcW w:type="dxa" w:w="1728"/>
          </w:tcPr>
          <w:p>
            <w:r>
              <w:rPr>
                <w:rFonts w:ascii="Calibri" w:hAnsi="Calibri"/>
                <w:sz w:val="22"/>
              </w:rPr>
              <w:t>$0.36</w:t>
            </w:r>
          </w:p>
        </w:tc>
        <w:tc>
          <w:tcPr>
            <w:tcW w:type="dxa" w:w="1728"/>
          </w:tcPr>
          <w:p>
            <w:r>
              <w:rPr>
                <w:rFonts w:ascii="Calibri" w:hAnsi="Calibri"/>
                <w:sz w:val="22"/>
              </w:rPr>
              <w:t>+5.6%</w:t>
            </w:r>
          </w:p>
        </w:tc>
        <w:tc>
          <w:tcPr>
            <w:tcW w:type="dxa" w:w="1728"/>
          </w:tcPr>
          <w:p>
            <w:r>
              <w:rPr>
                <w:rFonts w:ascii="Calibri" w:hAnsi="Calibri"/>
                <w:b/>
                <w:color w:val="30A46C"/>
                <w:sz w:val="22"/>
              </w:rPr>
              <w:t>Beat</w:t>
            </w:r>
          </w:p>
        </w:tc>
      </w:tr>
    </w:tbl>
    <w:p>
      <w:pPr>
        <w:pStyle w:val="Heading3"/>
      </w:pPr>
      <w:r>
        <w:rPr>
          <w:rFonts w:ascii="Calibri" w:hAnsi="Calibri"/>
          <w:b/>
          <w:color w:val="3B4259"/>
          <w:sz w:val="24"/>
        </w:rPr>
        <w:t>Operating Revenues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$2,774M</w:t>
            </w:r>
          </w:p>
        </w:tc>
        <w:tc>
          <w:tcPr>
            <w:tcW w:type="dxa" w:w="1728"/>
          </w:tcPr>
          <w:p>
            <w:r>
              <w:rPr>
                <w:rFonts w:ascii="Calibri" w:hAnsi="Calibri"/>
                <w:sz w:val="22"/>
              </w:rPr>
              <w:t>$2,515M</w:t>
            </w:r>
          </w:p>
        </w:tc>
        <w:tc>
          <w:tcPr>
            <w:tcW w:type="dxa" w:w="1728"/>
          </w:tcPr>
          <w:p>
            <w:r>
              <w:rPr>
                <w:rFonts w:ascii="Calibri" w:hAnsi="Calibri"/>
                <w:sz w:val="22"/>
              </w:rPr>
              <w:t>+10.3%</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$2,274M</w:t>
            </w:r>
          </w:p>
        </w:tc>
        <w:tc>
          <w:tcPr>
            <w:tcW w:type="dxa" w:w="1728"/>
          </w:tcPr>
          <w:p>
            <w:r>
              <w:rPr>
                <w:rFonts w:ascii="Calibri" w:hAnsi="Calibri"/>
                <w:sz w:val="22"/>
              </w:rPr>
              <w:t>$2,251M</w:t>
            </w:r>
          </w:p>
        </w:tc>
        <w:tc>
          <w:tcPr>
            <w:tcW w:type="dxa" w:w="1728"/>
          </w:tcPr>
          <w:p>
            <w:r>
              <w:rPr>
                <w:rFonts w:ascii="Calibri" w:hAnsi="Calibri"/>
                <w:sz w:val="22"/>
              </w:rPr>
              <w:t>+1.0%</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$2,239M</w:t>
            </w:r>
          </w:p>
        </w:tc>
        <w:tc>
          <w:tcPr>
            <w:tcW w:type="dxa" w:w="1728"/>
          </w:tcPr>
          <w:p>
            <w:r>
              <w:rPr>
                <w:rFonts w:ascii="Calibri" w:hAnsi="Calibri"/>
                <w:sz w:val="22"/>
              </w:rPr>
              <w:t>$2,137M</w:t>
            </w:r>
          </w:p>
        </w:tc>
        <w:tc>
          <w:tcPr>
            <w:tcW w:type="dxa" w:w="1728"/>
          </w:tcPr>
          <w:p>
            <w:r>
              <w:rPr>
                <w:rFonts w:ascii="Calibri" w:hAnsi="Calibri"/>
                <w:sz w:val="22"/>
              </w:rPr>
              <w:t>+4.8%</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$2,025M</w:t>
            </w:r>
          </w:p>
        </w:tc>
        <w:tc>
          <w:tcPr>
            <w:tcW w:type="dxa" w:w="1728"/>
          </w:tcPr>
          <w:p>
            <w:r>
              <w:rPr>
                <w:rFonts w:ascii="Calibri" w:hAnsi="Calibri"/>
                <w:sz w:val="22"/>
              </w:rPr>
              <w:t>$1,894M</w:t>
            </w:r>
          </w:p>
        </w:tc>
        <w:tc>
          <w:tcPr>
            <w:tcW w:type="dxa" w:w="1728"/>
          </w:tcPr>
          <w:p>
            <w:r>
              <w:rPr>
                <w:rFonts w:ascii="Calibri" w:hAnsi="Calibri"/>
                <w:sz w:val="22"/>
              </w:rPr>
              <w:t>+6.9%</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$2,504M</w:t>
            </w:r>
          </w:p>
        </w:tc>
        <w:tc>
          <w:tcPr>
            <w:tcW w:type="dxa" w:w="1728"/>
          </w:tcPr>
          <w:p>
            <w:r>
              <w:rPr>
                <w:rFonts w:ascii="Calibri" w:hAnsi="Calibri"/>
                <w:sz w:val="22"/>
              </w:rPr>
              <w:t>$2,389M</w:t>
            </w:r>
          </w:p>
        </w:tc>
        <w:tc>
          <w:tcPr>
            <w:tcW w:type="dxa" w:w="1728"/>
          </w:tcPr>
          <w:p>
            <w:r>
              <w:rPr>
                <w:rFonts w:ascii="Calibri" w:hAnsi="Calibri"/>
                <w:sz w:val="22"/>
              </w:rPr>
              <w:t>+4.8%</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$2,211M</w:t>
            </w:r>
          </w:p>
        </w:tc>
        <w:tc>
          <w:tcPr>
            <w:tcW w:type="dxa" w:w="1728"/>
          </w:tcPr>
          <w:p>
            <w:r>
              <w:rPr>
                <w:rFonts w:ascii="Calibri" w:hAnsi="Calibri"/>
                <w:sz w:val="22"/>
              </w:rPr>
              <w:t>$2,022M</w:t>
            </w:r>
          </w:p>
        </w:tc>
        <w:tc>
          <w:tcPr>
            <w:tcW w:type="dxa" w:w="1728"/>
          </w:tcPr>
          <w:p>
            <w:r>
              <w:rPr>
                <w:rFonts w:ascii="Calibri" w:hAnsi="Calibri"/>
                <w:sz w:val="22"/>
              </w:rPr>
              <w:t>+9.3%</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$2,066M</w:t>
            </w:r>
          </w:p>
        </w:tc>
        <w:tc>
          <w:tcPr>
            <w:tcW w:type="dxa" w:w="1728"/>
          </w:tcPr>
          <w:p>
            <w:r>
              <w:rPr>
                <w:rFonts w:ascii="Calibri" w:hAnsi="Calibri"/>
                <w:sz w:val="22"/>
              </w:rPr>
              <w:t>$2,003M</w:t>
            </w:r>
          </w:p>
        </w:tc>
        <w:tc>
          <w:tcPr>
            <w:tcW w:type="dxa" w:w="1728"/>
          </w:tcPr>
          <w:p>
            <w:r>
              <w:rPr>
                <w:rFonts w:ascii="Calibri" w:hAnsi="Calibri"/>
                <w:sz w:val="22"/>
              </w:rPr>
              <w:t>+3.1%</w:t>
            </w:r>
          </w:p>
        </w:tc>
        <w:tc>
          <w:tcPr>
            <w:tcW w:type="dxa" w:w="1728"/>
          </w:tcPr>
          <w:p>
            <w:r>
              <w:rPr>
                <w:rFonts w:ascii="Calibri" w:hAnsi="Calibri"/>
                <w:b/>
                <w:color w:val="30A46C"/>
                <w:sz w:val="22"/>
              </w:rPr>
              <w:t>Beat</w:t>
            </w:r>
          </w:p>
        </w:tc>
      </w:tr>
      <w:tr>
        <w:tc>
          <w:tcPr>
            <w:tcW w:type="dxa" w:w="1728"/>
          </w:tcPr>
          <w:p>
            <w:r>
              <w:rPr>
                <w:rFonts w:ascii="Calibri" w:hAnsi="Calibri"/>
                <w:sz w:val="22"/>
              </w:rPr>
              <w:t>Q2 2024</w:t>
            </w:r>
          </w:p>
        </w:tc>
        <w:tc>
          <w:tcPr>
            <w:tcW w:type="dxa" w:w="1728"/>
          </w:tcPr>
          <w:p>
            <w:r>
              <w:rPr>
                <w:rFonts w:ascii="Calibri" w:hAnsi="Calibri"/>
                <w:sz w:val="22"/>
              </w:rPr>
              <w:t>$1,881M</w:t>
            </w:r>
          </w:p>
        </w:tc>
        <w:tc>
          <w:tcPr>
            <w:tcW w:type="dxa" w:w="1728"/>
          </w:tcPr>
          <w:p>
            <w:r>
              <w:rPr>
                <w:rFonts w:ascii="Calibri" w:hAnsi="Calibri"/>
                <w:sz w:val="22"/>
              </w:rPr>
              <w:t>$1,749M</w:t>
            </w:r>
          </w:p>
        </w:tc>
        <w:tc>
          <w:tcPr>
            <w:tcW w:type="dxa" w:w="1728"/>
          </w:tcPr>
          <w:p>
            <w:r>
              <w:rPr>
                <w:rFonts w:ascii="Calibri" w:hAnsi="Calibri"/>
                <w:sz w:val="22"/>
              </w:rPr>
              <w:t>+7.5%</w:t>
            </w:r>
          </w:p>
        </w:tc>
        <w:tc>
          <w:tcPr>
            <w:tcW w:type="dxa" w:w="1728"/>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PPL has beaten revenue consensus in every one of the last 8 quarters, with an average surprise of ~6%. On ongoing EPS, the company has beaten in 5 of the last 7 reported quarters (Q2 2025 consensus not available in VA). The one miss (Q4 2024, -8.1%) was driven by higher-than-expected depreciation and financing costs. The consistent revenue beat pattern reflects conservative sell-side modeling of rate recovery and transmission revenues.</w:t>
      </w:r>
    </w:p>
    <w:p>
      <w:r>
        <w:rPr>
          <w:rFonts w:ascii="Calibri" w:hAnsi="Calibri"/>
          <w:color w:val="525866"/>
          <w:sz w:val="22"/>
        </w:rPr>
        <w:t>Source: Visible Alpha Consensus and Actuals Data.</w:t>
      </w:r>
    </w:p>
    <w:p>
      <w:r>
        <w:br w:type="page"/>
      </w:r>
    </w:p>
    <w:p>
      <w:pPr>
        <w:pStyle w:val="Heading1"/>
        <w:pBdr>
          <w:bottom w:val="single" w:sz="4" w:space="1" w:color="FB9120"/>
        </w:pBdr>
      </w:pPr>
      <w:r>
        <w:rPr>
          <w:rFonts w:ascii="Calibri" w:hAnsi="Calibri"/>
          <w:b/>
          <w:color w:val="3B4259"/>
          <w:sz w:val="40"/>
        </w:rPr>
        <w:t>3. Guidance &amp; Commentary Evolution</w:t>
      </w:r>
    </w:p>
    <w:p>
      <w:r>
        <w:rPr>
          <w:rFonts w:ascii="Calibri" w:hAnsi="Calibri"/>
          <w:b/>
          <w:color w:val="525866"/>
          <w:sz w:val="22"/>
        </w:rPr>
        <w:t xml:space="preserve">Key Takeaway: </w:t>
      </w:r>
      <w:r>
        <w:rPr>
          <w:rFonts w:ascii="Calibri" w:hAnsi="Calibri"/>
          <w:color w:val="525866"/>
          <w:sz w:val="22"/>
        </w:rPr>
        <w:t>Guidance is unchanged since the Q1 2026 earnings call — management reaffirmed $1.90–$1.98 FY2026 EPS and the 6–8% long-term growth target. Tone has shifted from cautious to confident, particularly on the Blackstone JV and Kentucky pipeline, but no formal guidance revision has been issued post-Q1.</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Call, May 8,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FY2026 Ongoing EPS</w:t>
            </w:r>
          </w:p>
        </w:tc>
        <w:tc>
          <w:tcPr>
            <w:tcW w:type="dxa" w:w="1728"/>
          </w:tcPr>
          <w:p>
            <w:r>
              <w:rPr>
                <w:rFonts w:ascii="Calibri" w:hAnsi="Calibri"/>
                <w:sz w:val="22"/>
              </w:rPr>
              <w:t>$1.90–$1.98 (midpoint $1.94); “at least midpoint”</w:t>
            </w:r>
          </w:p>
        </w:tc>
        <w:tc>
          <w:tcPr>
            <w:tcW w:type="dxa" w:w="1728"/>
          </w:tcPr>
          <w:p>
            <w:r>
              <w:rPr>
                <w:rFonts w:ascii="Calibri" w:hAnsi="Calibri"/>
                <w:sz w:val="22"/>
              </w:rPr>
              <w:t>—</w:t>
            </w:r>
          </w:p>
        </w:tc>
        <w:tc>
          <w:tcPr>
            <w:tcW w:type="dxa" w:w="1728"/>
          </w:tcPr>
          <w:p>
            <w:r>
              <w:rPr>
                <w:rFonts w:ascii="Calibri" w:hAnsi="Calibri"/>
                <w:sz w:val="22"/>
              </w:rPr>
              <w:t>$1.95</w:t>
            </w:r>
          </w:p>
        </w:tc>
        <w:tc>
          <w:tcPr>
            <w:tcW w:type="dxa" w:w="1728"/>
          </w:tcPr>
          <w:p>
            <w:r>
              <w:rPr>
                <w:rFonts w:ascii="Calibri" w:hAnsi="Calibri"/>
                <w:sz w:val="22"/>
              </w:rPr>
              <w:t>Unchanged; consensus sits just above midpoint, consistent with management’s “at least midpoint” language</w:t>
            </w:r>
          </w:p>
        </w:tc>
      </w:tr>
      <w:tr>
        <w:tc>
          <w:tcPr>
            <w:tcW w:type="dxa" w:w="1728"/>
          </w:tcPr>
          <w:p>
            <w:r>
              <w:rPr>
                <w:rFonts w:ascii="Calibri" w:hAnsi="Calibri"/>
                <w:sz w:val="22"/>
              </w:rPr>
              <w:t>Long-Term EPS Growth</w:t>
            </w:r>
          </w:p>
        </w:tc>
        <w:tc>
          <w:tcPr>
            <w:tcW w:type="dxa" w:w="1728"/>
          </w:tcPr>
          <w:p>
            <w:r>
              <w:rPr>
                <w:rFonts w:ascii="Calibri" w:hAnsi="Calibri"/>
                <w:sz w:val="22"/>
              </w:rPr>
              <w:t>6–8% annually through at least 2029; near top end of range</w:t>
            </w:r>
          </w:p>
        </w:tc>
        <w:tc>
          <w:tcPr>
            <w:tcW w:type="dxa" w:w="1728"/>
          </w:tcPr>
          <w:p>
            <w:r>
              <w:rPr>
                <w:rFonts w:ascii="Calibri" w:hAnsi="Calibri"/>
                <w:sz w:val="22"/>
              </w:rPr>
              <w:t>—</w:t>
            </w:r>
          </w:p>
        </w:tc>
        <w:tc>
          <w:tcPr>
            <w:tcW w:type="dxa" w:w="1728"/>
          </w:tcPr>
          <w:p>
            <w:r>
              <w:rPr>
                <w:rFonts w:ascii="Calibri" w:hAnsi="Calibri"/>
                <w:sz w:val="22"/>
              </w:rPr>
              <w:t>FY2027 cons. $2.12 implies ~8.6% growth</w:t>
            </w:r>
          </w:p>
        </w:tc>
        <w:tc>
          <w:tcPr>
            <w:tcW w:type="dxa" w:w="1728"/>
          </w:tcPr>
          <w:p>
            <w:r>
              <w:rPr>
                <w:rFonts w:ascii="Calibri" w:hAnsi="Calibri"/>
                <w:sz w:val="22"/>
              </w:rPr>
              <w:t>Unchanged; consensus tracking near top end of range, consistent with guidance</w:t>
            </w:r>
          </w:p>
        </w:tc>
      </w:tr>
      <w:tr>
        <w:tc>
          <w:tcPr>
            <w:tcW w:type="dxa" w:w="1728"/>
          </w:tcPr>
          <w:p>
            <w:r>
              <w:rPr>
                <w:rFonts w:ascii="Calibri" w:hAnsi="Calibri"/>
                <w:sz w:val="22"/>
              </w:rPr>
              <w:t>FY2026 CapEx</w:t>
            </w:r>
          </w:p>
        </w:tc>
        <w:tc>
          <w:tcPr>
            <w:tcW w:type="dxa" w:w="1728"/>
          </w:tcPr>
          <w:p>
            <w:r>
              <w:rPr>
                <w:rFonts w:ascii="Calibri" w:hAnsi="Calibri"/>
                <w:sz w:val="22"/>
              </w:rPr>
              <w:t>~$5.1B planned investments</w:t>
            </w:r>
          </w:p>
        </w:tc>
        <w:tc>
          <w:tcPr>
            <w:tcW w:type="dxa" w:w="1728"/>
          </w:tcPr>
          <w:p>
            <w:r>
              <w:rPr>
                <w:rFonts w:ascii="Calibri" w:hAnsi="Calibri"/>
                <w:sz w:val="22"/>
              </w:rPr>
              <w:t>—</w:t>
            </w:r>
          </w:p>
        </w:tc>
        <w:tc>
          <w:tcPr>
            <w:tcW w:type="dxa" w:w="1728"/>
          </w:tcPr>
          <w:p>
            <w:r>
              <w:rPr>
                <w:rFonts w:ascii="Calibri" w:hAnsi="Calibri"/>
                <w:sz w:val="22"/>
              </w:rPr>
              <w:t>$4.93B</w:t>
            </w:r>
          </w:p>
        </w:tc>
        <w:tc>
          <w:tcPr>
            <w:tcW w:type="dxa" w:w="1728"/>
          </w:tcPr>
          <w:p>
            <w:r>
              <w:rPr>
                <w:rFonts w:ascii="Calibri" w:hAnsi="Calibri"/>
                <w:sz w:val="22"/>
              </w:rPr>
              <w:t>Consensus ~3% below management target; Street may be modeling conservatively on timing</w:t>
            </w:r>
          </w:p>
        </w:tc>
      </w:tr>
      <w:tr>
        <w:tc>
          <w:tcPr>
            <w:tcW w:type="dxa" w:w="1728"/>
          </w:tcPr>
          <w:p>
            <w:r>
              <w:rPr>
                <w:rFonts w:ascii="Calibri" w:hAnsi="Calibri"/>
                <w:sz w:val="22"/>
              </w:rPr>
              <w:t>Rate Base CAGR (through 2029)</w:t>
            </w:r>
          </w:p>
        </w:tc>
        <w:tc>
          <w:tcPr>
            <w:tcW w:type="dxa" w:w="1728"/>
          </w:tcPr>
          <w:p>
            <w:r>
              <w:rPr>
                <w:rFonts w:ascii="Calibri" w:hAnsi="Calibri"/>
                <w:sz w:val="22"/>
              </w:rPr>
              <w:t>10.3% annually; $23B total capital through 2029</w:t>
            </w:r>
          </w:p>
        </w:tc>
        <w:tc>
          <w:tcPr>
            <w:tcW w:type="dxa" w:w="1728"/>
          </w:tcPr>
          <w:p>
            <w:r>
              <w:rPr>
                <w:rFonts w:ascii="Calibri" w:hAnsi="Calibri"/>
                <w:sz w:val="22"/>
              </w:rPr>
              <w:t>—</w:t>
            </w:r>
          </w:p>
        </w:tc>
        <w:tc>
          <w:tcPr>
            <w:tcW w:type="dxa" w:w="1728"/>
          </w:tcPr>
          <w:p>
            <w:r>
              <w:rPr>
                <w:rFonts w:ascii="Calibri" w:hAnsi="Calibri"/>
                <w:sz w:val="22"/>
              </w:rPr>
              <w:t>FY2026 rate base cons. $31.2B</w:t>
            </w:r>
          </w:p>
        </w:tc>
        <w:tc>
          <w:tcPr>
            <w:tcW w:type="dxa" w:w="1728"/>
          </w:tcPr>
          <w:p>
            <w:r>
              <w:rPr>
                <w:rFonts w:ascii="Calibri" w:hAnsi="Calibri"/>
                <w:sz w:val="22"/>
              </w:rPr>
              <w:t>Unchanged; on track with $23B plan</w:t>
            </w:r>
          </w:p>
        </w:tc>
      </w:tr>
      <w:tr>
        <w:tc>
          <w:tcPr>
            <w:tcW w:type="dxa" w:w="1728"/>
          </w:tcPr>
          <w:p>
            <w:r>
              <w:rPr>
                <w:rFonts w:ascii="Calibri" w:hAnsi="Calibri"/>
                <w:sz w:val="22"/>
              </w:rPr>
              <w:t>Dividend Growth</w:t>
            </w:r>
          </w:p>
        </w:tc>
        <w:tc>
          <w:tcPr>
            <w:tcW w:type="dxa" w:w="1728"/>
          </w:tcPr>
          <w:p>
            <w:r>
              <w:rPr>
                <w:rFonts w:ascii="Calibri" w:hAnsi="Calibri"/>
                <w:sz w:val="22"/>
              </w:rPr>
              <w:t>4–6% annually</w:t>
            </w:r>
          </w:p>
        </w:tc>
        <w:tc>
          <w:tcPr>
            <w:tcW w:type="dxa" w:w="1728"/>
          </w:tcPr>
          <w:p>
            <w:r>
              <w:rPr>
                <w:rFonts w:ascii="Calibri" w:hAnsi="Calibri"/>
                <w:sz w:val="22"/>
              </w:rPr>
              <w:t>—</w:t>
            </w:r>
          </w:p>
        </w:tc>
        <w:tc>
          <w:tcPr>
            <w:tcW w:type="dxa" w:w="1728"/>
          </w:tcPr>
          <w:p>
            <w:r>
              <w:rPr>
                <w:rFonts w:ascii="Calibri" w:hAnsi="Calibri"/>
                <w:sz w:val="22"/>
              </w:rPr>
              <w:t>FY2026 DPS cons. $1.15</w:t>
            </w:r>
          </w:p>
        </w:tc>
        <w:tc>
          <w:tcPr>
            <w:tcW w:type="dxa" w:w="1728"/>
          </w:tcPr>
          <w:p>
            <w:r>
              <w:rPr>
                <w:rFonts w:ascii="Calibri" w:hAnsi="Calibri"/>
                <w:sz w:val="22"/>
              </w:rPr>
              <w:t>Unchanged; on track</w:t>
            </w:r>
          </w:p>
        </w:tc>
      </w:tr>
      <w:tr>
        <w:tc>
          <w:tcPr>
            <w:tcW w:type="dxa" w:w="1728"/>
          </w:tcPr>
          <w:p>
            <w:r>
              <w:rPr>
                <w:rFonts w:ascii="Calibri" w:hAnsi="Calibri"/>
                <w:sz w:val="22"/>
              </w:rPr>
              <w:t>PA Rate Case</w:t>
            </w:r>
          </w:p>
        </w:tc>
        <w:tc>
          <w:tcPr>
            <w:tcW w:type="dxa" w:w="1728"/>
          </w:tcPr>
          <w:p>
            <w:r>
              <w:rPr>
                <w:rFonts w:ascii="Calibri" w:hAnsi="Calibri"/>
                <w:sz w:val="22"/>
              </w:rPr>
              <w:t>Final PUC decision by end of June 2026; new rates effective July 1, 2026</w:t>
            </w:r>
          </w:p>
        </w:tc>
        <w:tc>
          <w:tcPr>
            <w:tcW w:type="dxa" w:w="1728"/>
          </w:tcPr>
          <w:p>
            <w:r>
              <w:rPr>
                <w:rFonts w:ascii="Calibri" w:hAnsi="Calibri"/>
                <w:sz w:val="22"/>
              </w:rPr>
              <w:t>Decision received; new rates effective July 1, 2026</w:t>
            </w:r>
          </w:p>
        </w:tc>
        <w:tc>
          <w:tcPr>
            <w:tcW w:type="dxa" w:w="1728"/>
          </w:tcPr>
          <w:p>
            <w:r>
              <w:rPr>
                <w:rFonts w:ascii="Calibri" w:hAnsi="Calibri"/>
                <w:sz w:val="22"/>
              </w:rPr>
              <w:t>N/A</w:t>
            </w:r>
          </w:p>
        </w:tc>
        <w:tc>
          <w:tcPr>
            <w:tcW w:type="dxa" w:w="1728"/>
          </w:tcPr>
          <w:p>
            <w:r>
              <w:rPr>
                <w:rFonts w:ascii="Calibri" w:hAnsi="Calibri"/>
                <w:sz w:val="22"/>
              </w:rPr>
              <w:t>↑ Constructive outcome; ALJ recommended approval without modification; first rate case in 10+ years; bill impact &lt;4%</w:t>
            </w:r>
          </w:p>
        </w:tc>
      </w:tr>
      <w:tr>
        <w:tc>
          <w:tcPr>
            <w:tcW w:type="dxa" w:w="1728"/>
          </w:tcPr>
          <w:p>
            <w:r>
              <w:rPr>
                <w:rFonts w:ascii="Calibri" w:hAnsi="Calibri"/>
                <w:sz w:val="22"/>
              </w:rPr>
              <w:t>Blackstone JV</w:t>
            </w:r>
          </w:p>
        </w:tc>
        <w:tc>
          <w:tcPr>
            <w:tcW w:type="dxa" w:w="1728"/>
          </w:tcPr>
          <w:p>
            <w:r>
              <w:rPr>
                <w:rFonts w:ascii="Calibri" w:hAnsi="Calibri"/>
                <w:sz w:val="22"/>
              </w:rPr>
              <w:t>Meaningful commercial announcement likely in 2026; not in current plan</w:t>
            </w:r>
          </w:p>
        </w:tc>
        <w:tc>
          <w:tcPr>
            <w:tcW w:type="dxa" w:w="1728"/>
          </w:tcPr>
          <w:p>
            <w:r>
              <w:rPr>
                <w:rFonts w:ascii="Calibri" w:hAnsi="Calibri"/>
                <w:sz w:val="22"/>
              </w:rPr>
              <w:t>—</w:t>
            </w:r>
          </w:p>
        </w:tc>
        <w:tc>
          <w:tcPr>
            <w:tcW w:type="dxa" w:w="1728"/>
          </w:tcPr>
          <w:p>
            <w:r>
              <w:rPr>
                <w:rFonts w:ascii="Calibri" w:hAnsi="Calibri"/>
                <w:sz w:val="22"/>
              </w:rPr>
              <w:t>Not in consensus</w:t>
            </w:r>
          </w:p>
        </w:tc>
        <w:tc>
          <w:tcPr>
            <w:tcW w:type="dxa" w:w="1728"/>
          </w:tcPr>
          <w:p>
            <w:r>
              <w:rPr>
                <w:rFonts w:ascii="Calibri" w:hAnsi="Calibri"/>
                <w:sz w:val="22"/>
              </w:rPr>
              <w:t>Key upside catalyst; turbine reservations placed, PJM queue submissions made; CEO expressed high confidence in 2026 announcement</w:t>
            </w:r>
          </w:p>
        </w:tc>
      </w:tr>
    </w:tbl>
    <w:p>
      <w:r>
        <w:br w:type="page"/>
      </w:r>
    </w:p>
    <w:p>
      <w:pPr>
        <w:pStyle w:val="Heading1"/>
        <w:pBdr>
          <w:bottom w:val="single" w:sz="4" w:space="1" w:color="FB9120"/>
        </w:pBdr>
      </w:pPr>
      <w:r>
        <w:rPr>
          <w:rFonts w:ascii="Calibri" w:hAnsi="Calibri"/>
          <w:b/>
          <w:color w:val="3B4259"/>
          <w:sz w:val="40"/>
        </w:rPr>
        <w:t>4. Guidance vs. Estimate Revision Tracker</w:t>
      </w:r>
    </w:p>
    <w:p>
      <w:r>
        <w:rPr>
          <w:rFonts w:ascii="Calibri" w:hAnsi="Calibri"/>
          <w:b/>
          <w:color w:val="525866"/>
          <w:sz w:val="22"/>
        </w:rPr>
        <w:t xml:space="preserve">Key Takeaway: </w:t>
      </w:r>
      <w:r>
        <w:rPr>
          <w:rFonts w:ascii="Calibri" w:hAnsi="Calibri"/>
          <w:color w:val="525866"/>
          <w:sz w:val="22"/>
        </w:rPr>
        <w:t>Estimates have been remarkably stable since the Q1 print — FY2026 EPS consensus is essentially flat at $1.95 vs. the $1.95 baseline set 5 days post-Q1, and FY2027 is similarly unchanged. This stability reflects management’s reaffirmed guidance and the Street’s confidence in the plan, but also means there is no estimate momentum to drive the stock higher absent a catalyst.</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Post-Q1 (May 13, 2026)</w:t>
            </w:r>
          </w:p>
        </w:tc>
        <w:tc>
          <w:tcPr>
            <w:tcW w:type="dxa" w:w="1080"/>
            <w:shd w:val="clear" w:color="auto" w:fill="3B4259"/>
          </w:tcPr>
          <w:p>
            <w:r>
              <w:rPr>
                <w:rFonts w:ascii="Calibri" w:hAnsi="Calibri"/>
                <w:b/>
                <w:color w:val="FFFFFF"/>
                <w:sz w:val="22"/>
              </w:rPr>
              <w:t>Current Consensus (Aug 6,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Ongoing EPS — Q2 2026</w:t>
            </w:r>
          </w:p>
        </w:tc>
        <w:tc>
          <w:tcPr>
            <w:tcW w:type="dxa" w:w="1080"/>
          </w:tcPr>
          <w:p>
            <w:r>
              <w:rPr>
                <w:rFonts w:ascii="Calibri" w:hAnsi="Calibri"/>
                <w:sz w:val="22"/>
              </w:rPr>
              <w:t>$0.40</w:t>
            </w:r>
          </w:p>
        </w:tc>
        <w:tc>
          <w:tcPr>
            <w:tcW w:type="dxa" w:w="1080"/>
          </w:tcPr>
          <w:p>
            <w:r>
              <w:rPr>
                <w:rFonts w:ascii="Calibri" w:hAnsi="Calibri"/>
                <w:sz w:val="22"/>
              </w:rPr>
              <w:t>$0.33</w:t>
            </w:r>
          </w:p>
        </w:tc>
        <w:tc>
          <w:tcPr>
            <w:tcW w:type="dxa" w:w="1080"/>
          </w:tcPr>
          <w:p>
            <w:r>
              <w:rPr>
                <w:rFonts w:ascii="Calibri" w:hAnsi="Calibri"/>
                <w:b/>
                <w:color w:val="E5484D"/>
                <w:sz w:val="22"/>
              </w:rPr>
              <w:t>-17.5%</w:t>
            </w:r>
          </w:p>
        </w:tc>
        <w:tc>
          <w:tcPr>
            <w:tcW w:type="dxa" w:w="1080"/>
          </w:tcPr>
          <w:p>
            <w:r>
              <w:rPr>
                <w:rFonts w:ascii="Calibri" w:hAnsi="Calibri"/>
                <w:sz w:val="22"/>
              </w:rPr>
              <w:t>No quarterly guidance</w:t>
            </w:r>
          </w:p>
        </w:tc>
        <w:tc>
          <w:tcPr>
            <w:tcW w:type="dxa" w:w="1080"/>
          </w:tcPr>
          <w:p>
            <w:r>
              <w:rPr>
                <w:rFonts w:ascii="Calibri" w:hAnsi="Calibri"/>
                <w:sz w:val="22"/>
              </w:rPr>
              <w:t>No quarterly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Ongoing EPS — FY2026</w:t>
            </w:r>
          </w:p>
        </w:tc>
        <w:tc>
          <w:tcPr>
            <w:tcW w:type="dxa" w:w="1080"/>
          </w:tcPr>
          <w:p>
            <w:r>
              <w:rPr>
                <w:rFonts w:ascii="Calibri" w:hAnsi="Calibri"/>
                <w:sz w:val="22"/>
              </w:rPr>
              <w:t>$1.95</w:t>
            </w:r>
          </w:p>
        </w:tc>
        <w:tc>
          <w:tcPr>
            <w:tcW w:type="dxa" w:w="1080"/>
          </w:tcPr>
          <w:p>
            <w:r>
              <w:rPr>
                <w:rFonts w:ascii="Calibri" w:hAnsi="Calibri"/>
                <w:sz w:val="22"/>
              </w:rPr>
              <w:t>$1.95</w:t>
            </w:r>
          </w:p>
        </w:tc>
        <w:tc>
          <w:tcPr>
            <w:tcW w:type="dxa" w:w="1080"/>
          </w:tcPr>
          <w:p>
            <w:r>
              <w:rPr>
                <w:rFonts w:ascii="Calibri" w:hAnsi="Calibri"/>
                <w:sz w:val="22"/>
              </w:rPr>
              <w:t>0.0%</w:t>
            </w:r>
          </w:p>
        </w:tc>
        <w:tc>
          <w:tcPr>
            <w:tcW w:type="dxa" w:w="1080"/>
          </w:tcPr>
          <w:p>
            <w:r>
              <w:rPr>
                <w:rFonts w:ascii="Calibri" w:hAnsi="Calibri"/>
                <w:sz w:val="22"/>
              </w:rPr>
              <w:t>$1.90–$1.98 ($1.94 mid)</w:t>
            </w:r>
          </w:p>
        </w:tc>
        <w:tc>
          <w:tcPr>
            <w:tcW w:type="dxa" w:w="1080"/>
          </w:tcPr>
          <w:p>
            <w:r>
              <w:rPr>
                <w:rFonts w:ascii="Calibri" w:hAnsi="Calibri"/>
                <w:sz w:val="22"/>
              </w:rPr>
              <w:t>$1.90–$1.98 ($1.94 mid)</w:t>
            </w:r>
          </w:p>
        </w:tc>
        <w:tc>
          <w:tcPr>
            <w:tcW w:type="dxa" w:w="1080"/>
          </w:tcPr>
          <w:p>
            <w:r>
              <w:rPr>
                <w:rFonts w:ascii="Calibri" w:hAnsi="Calibri"/>
                <w:sz w:val="22"/>
              </w:rPr>
              <w:t>Unchanged</w:t>
            </w:r>
          </w:p>
        </w:tc>
        <w:tc>
          <w:tcPr>
            <w:tcW w:type="dxa" w:w="1080"/>
          </w:tcPr>
          <w:p>
            <w:r>
              <w:rPr>
                <w:rFonts w:ascii="Calibri" w:hAnsi="Calibri"/>
                <w:sz w:val="22"/>
              </w:rPr>
              <w:t>+0.5% above midpoint</w:t>
            </w:r>
          </w:p>
        </w:tc>
      </w:tr>
      <w:tr>
        <w:tc>
          <w:tcPr>
            <w:tcW w:type="dxa" w:w="1080"/>
          </w:tcPr>
          <w:p>
            <w:r>
              <w:rPr>
                <w:rFonts w:ascii="Calibri" w:hAnsi="Calibri"/>
                <w:sz w:val="22"/>
              </w:rPr>
              <w:t>Ongoing EPS — FY2027</w:t>
            </w:r>
          </w:p>
        </w:tc>
        <w:tc>
          <w:tcPr>
            <w:tcW w:type="dxa" w:w="1080"/>
          </w:tcPr>
          <w:p>
            <w:r>
              <w:rPr>
                <w:rFonts w:ascii="Calibri" w:hAnsi="Calibri"/>
                <w:sz w:val="22"/>
              </w:rPr>
              <w:t>$2.12</w:t>
            </w:r>
          </w:p>
        </w:tc>
        <w:tc>
          <w:tcPr>
            <w:tcW w:type="dxa" w:w="1080"/>
          </w:tcPr>
          <w:p>
            <w:r>
              <w:rPr>
                <w:rFonts w:ascii="Calibri" w:hAnsi="Calibri"/>
                <w:sz w:val="22"/>
              </w:rPr>
              <w:t>$2.12</w:t>
            </w:r>
          </w:p>
        </w:tc>
        <w:tc>
          <w:tcPr>
            <w:tcW w:type="dxa" w:w="1080"/>
          </w:tcPr>
          <w:p>
            <w:r>
              <w:rPr>
                <w:rFonts w:ascii="Calibri" w:hAnsi="Calibri"/>
                <w:sz w:val="22"/>
              </w:rPr>
              <w:t>0.0%</w:t>
            </w:r>
          </w:p>
        </w:tc>
        <w:tc>
          <w:tcPr>
            <w:tcW w:type="dxa" w:w="1080"/>
          </w:tcPr>
          <w:p>
            <w:r>
              <w:rPr>
                <w:rFonts w:ascii="Calibri" w:hAnsi="Calibri"/>
                <w:sz w:val="22"/>
              </w:rPr>
              <w:t>6–8% growth (near top end)</w:t>
            </w:r>
          </w:p>
        </w:tc>
        <w:tc>
          <w:tcPr>
            <w:tcW w:type="dxa" w:w="1080"/>
          </w:tcPr>
          <w:p>
            <w:r>
              <w:rPr>
                <w:rFonts w:ascii="Calibri" w:hAnsi="Calibri"/>
                <w:sz w:val="22"/>
              </w:rPr>
              <w:t>6–8% growth (near top end)</w:t>
            </w:r>
          </w:p>
        </w:tc>
        <w:tc>
          <w:tcPr>
            <w:tcW w:type="dxa" w:w="1080"/>
          </w:tcPr>
          <w:p>
            <w:r>
              <w:rPr>
                <w:rFonts w:ascii="Calibri" w:hAnsi="Calibri"/>
                <w:sz w:val="22"/>
              </w:rPr>
              <w:t>Unchanged</w:t>
            </w:r>
          </w:p>
        </w:tc>
        <w:tc>
          <w:tcPr>
            <w:tcW w:type="dxa" w:w="1080"/>
          </w:tcPr>
          <w:p>
            <w:r>
              <w:rPr>
                <w:rFonts w:ascii="Calibri" w:hAnsi="Calibri"/>
                <w:sz w:val="22"/>
              </w:rPr>
              <w:t>~9.2% growth vs. FY2026 cons. — near top end</w:t>
            </w:r>
          </w:p>
        </w:tc>
      </w:tr>
      <w:tr>
        <w:tc>
          <w:tcPr>
            <w:tcW w:type="dxa" w:w="1080"/>
          </w:tcPr>
          <w:p>
            <w:r>
              <w:rPr>
                <w:rFonts w:ascii="Calibri" w:hAnsi="Calibri"/>
                <w:sz w:val="22"/>
              </w:rPr>
              <w:t>Operating Revenues — Q2 2026</w:t>
            </w:r>
          </w:p>
        </w:tc>
        <w:tc>
          <w:tcPr>
            <w:tcW w:type="dxa" w:w="1080"/>
          </w:tcPr>
          <w:p>
            <w:r>
              <w:rPr>
                <w:rFonts w:ascii="Calibri" w:hAnsi="Calibri"/>
                <w:sz w:val="22"/>
              </w:rPr>
              <w:t>$2,178M</w:t>
            </w:r>
          </w:p>
        </w:tc>
        <w:tc>
          <w:tcPr>
            <w:tcW w:type="dxa" w:w="1080"/>
          </w:tcPr>
          <w:p>
            <w:r>
              <w:rPr>
                <w:rFonts w:ascii="Calibri" w:hAnsi="Calibri"/>
                <w:sz w:val="22"/>
              </w:rPr>
              <w:t>$1,990M</w:t>
            </w:r>
          </w:p>
        </w:tc>
        <w:tc>
          <w:tcPr>
            <w:tcW w:type="dxa" w:w="1080"/>
          </w:tcPr>
          <w:p>
            <w:r>
              <w:rPr>
                <w:rFonts w:ascii="Calibri" w:hAnsi="Calibri"/>
                <w:b/>
                <w:color w:val="E5484D"/>
                <w:sz w:val="22"/>
              </w:rPr>
              <w:t>-8.6%</w:t>
            </w:r>
          </w:p>
        </w:tc>
        <w:tc>
          <w:tcPr>
            <w:tcW w:type="dxa" w:w="1080"/>
          </w:tcPr>
          <w:p>
            <w:r>
              <w:rPr>
                <w:rFonts w:ascii="Calibri" w:hAnsi="Calibri"/>
                <w:sz w:val="22"/>
              </w:rPr>
              <w:t>No quarterly guidance</w:t>
            </w:r>
          </w:p>
        </w:tc>
        <w:tc>
          <w:tcPr>
            <w:tcW w:type="dxa" w:w="1080"/>
          </w:tcPr>
          <w:p>
            <w:r>
              <w:rPr>
                <w:rFonts w:ascii="Calibri" w:hAnsi="Calibri"/>
                <w:sz w:val="22"/>
              </w:rPr>
              <w:t>No quarterly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Operating Revenues — FY2026</w:t>
            </w:r>
          </w:p>
        </w:tc>
        <w:tc>
          <w:tcPr>
            <w:tcW w:type="dxa" w:w="1080"/>
          </w:tcPr>
          <w:p>
            <w:r>
              <w:rPr>
                <w:rFonts w:ascii="Calibri" w:hAnsi="Calibri"/>
                <w:sz w:val="22"/>
              </w:rPr>
              <w:t>$9,717M</w:t>
            </w:r>
          </w:p>
        </w:tc>
        <w:tc>
          <w:tcPr>
            <w:tcW w:type="dxa" w:w="1080"/>
          </w:tcPr>
          <w:p>
            <w:r>
              <w:rPr>
                <w:rFonts w:ascii="Calibri" w:hAnsi="Calibri"/>
                <w:sz w:val="22"/>
              </w:rPr>
              <w:t>$9,331M</w:t>
            </w:r>
          </w:p>
        </w:tc>
        <w:tc>
          <w:tcPr>
            <w:tcW w:type="dxa" w:w="1080"/>
          </w:tcPr>
          <w:p>
            <w:r>
              <w:rPr>
                <w:rFonts w:ascii="Calibri" w:hAnsi="Calibri"/>
                <w:b/>
                <w:color w:val="E5484D"/>
                <w:sz w:val="22"/>
              </w:rPr>
              <w:t>-4.0%</w:t>
            </w:r>
          </w:p>
        </w:tc>
        <w:tc>
          <w:tcPr>
            <w:tcW w:type="dxa" w:w="1080"/>
          </w:tcPr>
          <w:p>
            <w:r>
              <w:rPr>
                <w:rFonts w:ascii="Calibri" w:hAnsi="Calibri"/>
                <w:sz w:val="22"/>
              </w:rPr>
              <w:t>No formal revenue guidance</w:t>
            </w:r>
          </w:p>
        </w:tc>
        <w:tc>
          <w:tcPr>
            <w:tcW w:type="dxa" w:w="1080"/>
          </w:tcPr>
          <w:p>
            <w:r>
              <w:rPr>
                <w:rFonts w:ascii="Calibri" w:hAnsi="Calibri"/>
                <w:sz w:val="22"/>
              </w:rPr>
              <w:t>No formal revenue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CapEx — FY2026</w:t>
            </w:r>
          </w:p>
        </w:tc>
        <w:tc>
          <w:tcPr>
            <w:tcW w:type="dxa" w:w="1080"/>
          </w:tcPr>
          <w:p>
            <w:r>
              <w:rPr>
                <w:rFonts w:ascii="Calibri" w:hAnsi="Calibri"/>
                <w:sz w:val="22"/>
              </w:rPr>
              <w:t>$5,073M</w:t>
            </w:r>
          </w:p>
        </w:tc>
        <w:tc>
          <w:tcPr>
            <w:tcW w:type="dxa" w:w="1080"/>
          </w:tcPr>
          <w:p>
            <w:r>
              <w:rPr>
                <w:rFonts w:ascii="Calibri" w:hAnsi="Calibri"/>
                <w:sz w:val="22"/>
              </w:rPr>
              <w:t>$4,931M</w:t>
            </w:r>
          </w:p>
        </w:tc>
        <w:tc>
          <w:tcPr>
            <w:tcW w:type="dxa" w:w="1080"/>
          </w:tcPr>
          <w:p>
            <w:r>
              <w:rPr>
                <w:rFonts w:ascii="Calibri" w:hAnsi="Calibri"/>
                <w:sz w:val="22"/>
              </w:rPr>
              <w:t>-2.8%</w:t>
            </w:r>
          </w:p>
        </w:tc>
        <w:tc>
          <w:tcPr>
            <w:tcW w:type="dxa" w:w="1080"/>
          </w:tcPr>
          <w:p>
            <w:r>
              <w:rPr>
                <w:rFonts w:ascii="Calibri" w:hAnsi="Calibri"/>
                <w:sz w:val="22"/>
              </w:rPr>
              <w:t>~$5.1B</w:t>
            </w:r>
          </w:p>
        </w:tc>
        <w:tc>
          <w:tcPr>
            <w:tcW w:type="dxa" w:w="1080"/>
          </w:tcPr>
          <w:p>
            <w:r>
              <w:rPr>
                <w:rFonts w:ascii="Calibri" w:hAnsi="Calibri"/>
                <w:sz w:val="22"/>
              </w:rPr>
              <w:t>~$5.1B</w:t>
            </w:r>
          </w:p>
        </w:tc>
        <w:tc>
          <w:tcPr>
            <w:tcW w:type="dxa" w:w="1080"/>
          </w:tcPr>
          <w:p>
            <w:r>
              <w:rPr>
                <w:rFonts w:ascii="Calibri" w:hAnsi="Calibri"/>
                <w:sz w:val="22"/>
              </w:rPr>
              <w:t>Unchanged</w:t>
            </w:r>
          </w:p>
        </w:tc>
        <w:tc>
          <w:tcPr>
            <w:tcW w:type="dxa" w:w="1080"/>
          </w:tcPr>
          <w:p>
            <w:r>
              <w:rPr>
                <w:rFonts w:ascii="Calibri" w:hAnsi="Calibri"/>
                <w:sz w:val="22"/>
              </w:rPr>
              <w:t>-3.3% below mgmt. target</w:t>
            </w:r>
          </w:p>
        </w:tc>
      </w:tr>
    </w:tbl>
    <w:p>
      <w:r>
        <w:rPr>
          <w:rFonts w:ascii="Calibri" w:hAnsi="Calibri"/>
          <w:color w:val="525866"/>
          <w:sz w:val="22"/>
        </w:rPr>
        <w:t>The notable revision is the Q2 2026 EPS estimate, which has moved down from $0.40 to $0.33 since the Q1 print — a -17.5% revision that likely reflects the Street recalibrating the quarterly cadence after Q1 came in at $0.63 (well above the prior $0.40 Q2 estimate). Revenue estimates have also been revised down modestly, consistent with the seasonal pattern. Full-year EPS and FY2027 EPS are essentially unchanged, confirming the Street’s confidence in the annual guidance framework. The CapEx consensus running ~3% below management’s $5.1B target is a modest risk if PPL accelerates spending in H2.</w:t>
      </w:r>
    </w:p>
    <w:p>
      <w:r>
        <w:rPr>
          <w:rFonts w:ascii="Calibri" w:hAnsi="Calibri"/>
          <w:color w:val="525866"/>
          <w:sz w:val="22"/>
        </w:rPr>
        <w:t>Source: Visible Alpha Consensus and Actuals Data.</w:t>
      </w:r>
    </w:p>
    <w:p>
      <w:r>
        <w:br w:type="page"/>
      </w:r>
    </w:p>
    <w:p>
      <w:pPr>
        <w:pStyle w:val="Heading1"/>
        <w:pBdr>
          <w:bottom w:val="single" w:sz="4" w:space="1" w:color="FB9120"/>
        </w:pBdr>
      </w:pPr>
      <w:r>
        <w:rPr>
          <w:rFonts w:ascii="Calibri" w:hAnsi="Calibri"/>
          <w:b/>
          <w:color w:val="3B4259"/>
          <w:sz w:val="40"/>
        </w:rPr>
        <w:t>5. Stock Performance</w:t>
      </w:r>
    </w:p>
    <w:p>
      <w:r>
        <w:rPr>
          <w:rFonts w:ascii="Calibri" w:hAnsi="Calibri"/>
          <w:b/>
          <w:color w:val="525866"/>
          <w:sz w:val="22"/>
        </w:rPr>
        <w:t xml:space="preserve">Key Takeaway: </w:t>
      </w:r>
      <w:r>
        <w:rPr>
          <w:rFonts w:ascii="Calibri" w:hAnsi="Calibri"/>
          <w:color w:val="525866"/>
          <w:sz w:val="22"/>
        </w:rPr>
        <w:t>PPL has drifted ~3.6% lower since the Q1 2026 earnings date (May 8), underperforming the broader market, with the decline driven primarily by multiple compression rather than estimate cuts — FY2026 EPS consensus is flat over the same period. The stock is not pricing in a beat, which creates an asymmetric setup heading into Q2.</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PPL vs. XLU (Utilities ETF) vs. S&amp;P 500 — Indexed to 100 at May 8, 2026 (Q1 2026 Earnings Date). Source: Stock Price Data.</w:t>
      </w:r>
    </w:p>
    <w:p>
      <w:r>
        <w:rPr>
          <w:rFonts w:ascii="Calibri" w:hAnsi="Calibri"/>
          <w:color w:val="525866"/>
          <w:sz w:val="22"/>
        </w:rPr>
        <w:t xml:space="preserve">PPL closed at $35.91 on May 8, 2026 (Q1 earnings day) and has declined to $34.62 as of August 7, 2026, a loss of approximately -3.6% over the period. The stock peaked at $37.02 on June 26 (up ~3.1% from the earnings date), likely driven by the Pennsylvania PUC rate case final approval and new rates effective July 1. The stock then gave back those gains through July and into August, consistent with broader utility sector softness. The key material event during the period was the </w:t>
      </w:r>
      <w:r>
        <w:rPr>
          <w:rFonts w:ascii="Calibri" w:hAnsi="Calibri"/>
          <w:b/>
          <w:color w:val="525866"/>
          <w:sz w:val="22"/>
        </w:rPr>
        <w:t>Pennsylvania rate case final approval</w:t>
      </w:r>
      <w:r>
        <w:rPr>
          <w:rFonts w:ascii="Calibri" w:hAnsi="Calibri"/>
          <w:color w:val="525866"/>
          <w:sz w:val="22"/>
        </w:rPr>
        <w:t xml:space="preserve"> (effective July 1, 2026) and the </w:t>
      </w:r>
      <w:r>
        <w:rPr>
          <w:rFonts w:ascii="Calibri" w:hAnsi="Calibri"/>
          <w:b/>
          <w:color w:val="525866"/>
          <w:sz w:val="22"/>
        </w:rPr>
        <w:t>addition of Kenneth Hartwick to the Board</w:t>
      </w:r>
      <w:r>
        <w:rPr>
          <w:rFonts w:ascii="Calibri" w:hAnsi="Calibri"/>
          <w:color w:val="525866"/>
          <w:sz w:val="22"/>
        </w:rPr>
        <w:t xml:space="preserve"> (June 30, 2026), a former Ontario Power Generation CEO with deep nuclear and generation expertise — a signal of PPL’s seriousness about the Blackstone JV and SMR strategy.</w:t>
      </w:r>
    </w:p>
    <w:p>
      <w:r>
        <w:br w:type="page"/>
      </w:r>
    </w:p>
    <w:p>
      <w:pPr>
        <w:pStyle w:val="Heading1"/>
        <w:pBdr>
          <w:bottom w:val="single" w:sz="4" w:space="1" w:color="FB9120"/>
        </w:pBdr>
      </w:pPr>
      <w:r>
        <w:rPr>
          <w:rFonts w:ascii="Calibri" w:hAnsi="Calibri"/>
          <w:b/>
          <w:color w:val="3B4259"/>
          <w:sz w:val="40"/>
        </w:rPr>
        <w:t>6.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the Pennsylvania rate case final approval (effective July 1), which begins flowing new distribution revenues in Q3 2026. The Blackstone JV continues to advance with no formal announcement yet — any signed ESSA with a hyperscaler would be the single largest positive catalyst for the stock.</w:t>
      </w:r>
    </w:p>
    <w:p>
      <w:pPr>
        <w:pStyle w:val="ListBullet"/>
        <w:ind w:left="360" w:hanging="360"/>
      </w:pPr>
      <w:r>
        <w:rPr>
          <w:rFonts w:ascii="Calibri" w:hAnsi="Calibri"/>
          <w:b/>
          <w:color w:val="525866"/>
          <w:sz w:val="22"/>
        </w:rPr>
        <w:t xml:space="preserve">Pennsylvania Rate Case Final Approval (July 1, 2026): </w:t>
      </w:r>
      <w:r>
        <w:rPr>
          <w:rFonts w:ascii="Calibri" w:hAnsi="Calibri"/>
          <w:color w:val="525866"/>
          <w:sz w:val="22"/>
        </w:rPr>
        <w:t>The Pennsylvania PUC issued its final order approving the settlement without modification, with new distribution rates effective July 1, 2026. This is PPL’s first base rate case in over 10 years. Bill impact is under 4% across all customer classes. A two-year stay-out period begins. This is a direct Q3 2026 earnings tailwind and removes a key regulatory overhang.</w:t>
      </w:r>
    </w:p>
    <w:p>
      <w:pPr>
        <w:pStyle w:val="ListBullet"/>
        <w:ind w:left="360" w:hanging="360"/>
      </w:pPr>
      <w:r>
        <w:rPr>
          <w:rFonts w:ascii="Calibri" w:hAnsi="Calibri"/>
          <w:b/>
          <w:color w:val="525866"/>
          <w:sz w:val="22"/>
        </w:rPr>
        <w:t xml:space="preserve">Kenneth Hartwick Joins PPL Board (June 30, 2026): </w:t>
      </w:r>
      <w:r>
        <w:rPr>
          <w:rFonts w:ascii="Calibri" w:hAnsi="Calibri"/>
          <w:color w:val="525866"/>
          <w:sz w:val="22"/>
        </w:rPr>
        <w:t>PPL added former Ontario Power Generation CEO Kenneth Hartwick as an independent director. Hartwick brings deep nuclear generation and power sector expertise (also chairs Ontario’s Independent Electricity System Operator). His appointment signals PPL’s seriousness about the Blackstone JV, SMR collaboration with X-energy, and broader generation strategy. He will serve on the Finance and People &amp; Compensation Committees.</w:t>
      </w:r>
    </w:p>
    <w:p>
      <w:pPr>
        <w:pStyle w:val="ListBullet"/>
        <w:ind w:left="360" w:hanging="360"/>
      </w:pPr>
      <w:r>
        <w:rPr>
          <w:rFonts w:ascii="Calibri" w:hAnsi="Calibri"/>
          <w:b/>
          <w:color w:val="525866"/>
          <w:sz w:val="22"/>
        </w:rPr>
        <w:t xml:space="preserve">Rhode Island Energy Sells $400M Senior Notes (May 18, 2026): </w:t>
      </w:r>
      <w:r>
        <w:rPr>
          <w:rFonts w:ascii="Calibri" w:hAnsi="Calibri"/>
          <w:color w:val="525866"/>
          <w:sz w:val="22"/>
        </w:rPr>
        <w:t>Rhode Island Energy issued $400M of 30-year senior notes due 2056, locking in long-term financing for the Rhode Island capital program. Supports the $330M+ annual infrastructure investment plan and the pending base rate case (new rates expected September 1, 2026).</w:t>
      </w:r>
    </w:p>
    <w:p>
      <w:pPr>
        <w:pStyle w:val="ListBullet"/>
        <w:ind w:left="360" w:hanging="360"/>
      </w:pPr>
      <w:r>
        <w:rPr>
          <w:rFonts w:ascii="Calibri" w:hAnsi="Calibri"/>
          <w:b/>
          <w:color w:val="525866"/>
          <w:sz w:val="22"/>
        </w:rPr>
        <w:t xml:space="preserve">PPL Electric Utilities Sells $500M First Mortgage Bonds (May 15, 2026): </w:t>
      </w:r>
      <w:r>
        <w:rPr>
          <w:rFonts w:ascii="Calibri" w:hAnsi="Calibri"/>
          <w:color w:val="525866"/>
          <w:sz w:val="22"/>
        </w:rPr>
        <w:t>PPL Electric Utilities issued $500M of 30-year first mortgage bonds due 2056. Continues the company’s proactive long-term debt financing strategy, supporting the $23B capital plan through 2029 while locking in rates ahead of potential interest rate volatility.</w:t>
      </w:r>
    </w:p>
    <w:p>
      <w:pPr>
        <w:pStyle w:val="ListBullet"/>
        <w:ind w:left="360" w:hanging="360"/>
      </w:pPr>
      <w:r>
        <w:rPr>
          <w:rFonts w:ascii="Calibri" w:hAnsi="Calibri"/>
          <w:b/>
          <w:color w:val="525866"/>
          <w:sz w:val="22"/>
        </w:rPr>
        <w:t xml:space="preserve">Blackstone JV Execution Continues (Ongoing): </w:t>
      </w:r>
      <w:r>
        <w:rPr>
          <w:rFonts w:ascii="Calibri" w:hAnsi="Calibri"/>
          <w:color w:val="525866"/>
          <w:sz w:val="22"/>
        </w:rPr>
        <w:t>Multiple gas turbine reservation agreements executed, PJM interconnection queue submissions made for controlled land sites, and strategic discussions ongoing with Marcellus gas pipeline companies. CEO Sorgi stated on the Q1 call he would “be surprised” if PPL didn’t announce something meaningful in 2026. No formal announcement yet as of August 6 — this remains the key catalyst watch.</w:t>
      </w:r>
    </w:p>
    <w:p>
      <w:pPr>
        <w:pStyle w:val="ListBullet"/>
        <w:ind w:left="360" w:hanging="360"/>
      </w:pPr>
      <w:r>
        <w:rPr>
          <w:rFonts w:ascii="Calibri" w:hAnsi="Calibri"/>
          <w:b/>
          <w:color w:val="525866"/>
          <w:sz w:val="22"/>
        </w:rPr>
        <w:t xml:space="preserve">Kentucky Pipeline Growth Accelerates (Q1 2026 Update): </w:t>
      </w:r>
      <w:r>
        <w:rPr>
          <w:rFonts w:ascii="Calibri" w:hAnsi="Calibri"/>
          <w:color w:val="525866"/>
          <w:sz w:val="22"/>
        </w:rPr>
        <w:t>Kentucky data center pipeline grew to 12.9 GW (up ~4 GW from year-end), with load projections now nearly double prior CPCN assumptions. LG&amp;E/KU could file a new CPCN as early as 2026. New partnerships announced with Rye Development (266 MW pumped storage hydro) and X-energy (SMR collaboration).</w:t>
      </w:r>
    </w:p>
    <w:p>
      <w:pPr>
        <w:pStyle w:val="ListBullet"/>
        <w:ind w:left="360" w:hanging="360"/>
      </w:pPr>
      <w:r>
        <w:rPr>
          <w:rFonts w:ascii="Calibri" w:hAnsi="Calibri"/>
          <w:b/>
          <w:color w:val="525866"/>
          <w:sz w:val="22"/>
        </w:rPr>
        <w:t xml:space="preserve">Rhode Island Rate Case On Track (Ongoing): </w:t>
      </w:r>
      <w:r>
        <w:rPr>
          <w:rFonts w:ascii="Calibri" w:hAnsi="Calibri"/>
          <w:color w:val="525866"/>
          <w:sz w:val="22"/>
        </w:rPr>
        <w:t>Evidentiary hearings planned for June and July 2026; new rates expected effective September 1, 2026. Hold-harmless bill credits expected to begin Q1 2027, significantly offsetting the rate increase impact for customers.</w:t>
      </w:r>
    </w:p>
    <w:p>
      <w:pPr>
        <w:pStyle w:val="ListBullet"/>
        <w:ind w:left="360" w:hanging="360"/>
      </w:pPr>
      <w:r>
        <w:rPr>
          <w:rFonts w:ascii="Calibri" w:hAnsi="Calibri"/>
          <w:b/>
          <w:color w:val="525866"/>
          <w:sz w:val="22"/>
        </w:rPr>
        <w:t xml:space="preserve">Kentucky Rate Case Reconsideration (Q3 2026 Decision Expected): </w:t>
      </w:r>
      <w:r>
        <w:rPr>
          <w:rFonts w:ascii="Calibri" w:hAnsi="Calibri"/>
          <w:color w:val="525866"/>
          <w:sz w:val="22"/>
        </w:rPr>
        <w:t>KPSC granted reconsideration on limited substantive issues. Additional discovery concluded in late May; decision expected Q3 2026. Outcome could affect Kentucky segment earnings trajectory.</w:t>
      </w:r>
    </w:p>
    <w:p>
      <w:pPr>
        <w:pStyle w:val="ListBullet"/>
        <w:ind w:left="360" w:hanging="360"/>
      </w:pPr>
      <w:r>
        <w:rPr>
          <w:rFonts w:ascii="Calibri" w:hAnsi="Calibri"/>
          <w:b/>
          <w:color w:val="525866"/>
          <w:sz w:val="22"/>
        </w:rPr>
        <w:t xml:space="preserve">PPL Shareholders Approve Amended Stock Incentive Plan (May 13, 2026): </w:t>
      </w:r>
      <w:r>
        <w:rPr>
          <w:rFonts w:ascii="Calibri" w:hAnsi="Calibri"/>
          <w:color w:val="525866"/>
          <w:sz w:val="22"/>
        </w:rPr>
        <w:t>Routine governance item; no material financial impact.</w:t>
      </w:r>
    </w:p>
    <w:p>
      <w:r>
        <w:br w:type="page"/>
      </w:r>
    </w:p>
    <w:p>
      <w:pPr>
        <w:pStyle w:val="Heading1"/>
        <w:pBdr>
          <w:bottom w:val="single" w:sz="4" w:space="1" w:color="FB9120"/>
        </w:pBdr>
      </w:pPr>
      <w:r>
        <w:rPr>
          <w:rFonts w:ascii="Calibri" w:hAnsi="Calibri"/>
          <w:b/>
          <w:color w:val="3B4259"/>
          <w:sz w:val="40"/>
        </w:rPr>
        <w:t>7. Peer Commentaries — Q2 2026 Read-Through</w:t>
      </w:r>
    </w:p>
    <w:p>
      <w:r>
        <w:rPr>
          <w:rFonts w:ascii="Calibri" w:hAnsi="Calibri"/>
          <w:b/>
          <w:color w:val="525866"/>
          <w:sz w:val="22"/>
        </w:rPr>
        <w:t xml:space="preserve">Key Takeaway: </w:t>
      </w:r>
      <w:r>
        <w:rPr>
          <w:rFonts w:ascii="Calibri" w:hAnsi="Calibri"/>
          <w:color w:val="525866"/>
          <w:sz w:val="22"/>
        </w:rPr>
        <w:t xml:space="preserve">Q2 2026 peer earnings (reported July–August 2026) are broadly constructive for PPL: data center demand is accelerating across all PJM-adjacent utilities, large-load tariff frameworks are being approved and codified, and regulated utilities are delivering constructive rate case outcomes. The most direct read-throughs for PPL are the </w:t>
      </w:r>
      <w:r>
        <w:rPr>
          <w:rFonts w:ascii="Calibri" w:hAnsi="Calibri"/>
          <w:b/>
          <w:color w:val="525866"/>
          <w:sz w:val="22"/>
        </w:rPr>
        <w:t>PJM capacity market scarcity signal from Exelon</w:t>
      </w:r>
      <w:r>
        <w:rPr>
          <w:rFonts w:ascii="Calibri" w:hAnsi="Calibri"/>
          <w:color w:val="525866"/>
          <w:sz w:val="22"/>
        </w:rPr>
        <w:t xml:space="preserve"> (bullish for PPL’s Blackstone JV economics), the </w:t>
      </w:r>
      <w:r>
        <w:rPr>
          <w:rFonts w:ascii="Calibri" w:hAnsi="Calibri"/>
          <w:b/>
          <w:color w:val="525866"/>
          <w:sz w:val="22"/>
        </w:rPr>
        <w:t>FirstEnergy data center pipeline surge in PJM</w:t>
      </w:r>
      <w:r>
        <w:rPr>
          <w:rFonts w:ascii="Calibri" w:hAnsi="Calibri"/>
          <w:color w:val="525866"/>
          <w:sz w:val="22"/>
        </w:rPr>
        <w:t xml:space="preserve"> (validates PPL’s Pennsylvania pipeline), and the </w:t>
      </w:r>
      <w:r>
        <w:rPr>
          <w:rFonts w:ascii="Calibri" w:hAnsi="Calibri"/>
          <w:b/>
          <w:color w:val="525866"/>
          <w:sz w:val="22"/>
        </w:rPr>
        <w:t>broad utility sector guidance reaffirmations</w:t>
      </w:r>
      <w:r>
        <w:rPr>
          <w:rFonts w:ascii="Calibri" w:hAnsi="Calibri"/>
          <w:color w:val="525866"/>
          <w:sz w:val="22"/>
        </w:rPr>
        <w:t xml:space="preserve"> (reduces risk of a PPL guidance cut).</w:t>
      </w:r>
    </w:p>
    <w:p>
      <w:pPr>
        <w:pStyle w:val="Heading2"/>
      </w:pPr>
      <w:r>
        <w:rPr>
          <w:rFonts w:ascii="Calibri" w:hAnsi="Calibri"/>
          <w:b/>
          <w:color w:val="3B4259"/>
          <w:sz w:val="28"/>
        </w:rPr>
        <w:t>NextEra Energy (NEE) — Q2 2026 Earnings (July 24, 2026)</w:t>
      </w:r>
    </w:p>
    <w:p>
      <w:r>
        <w:rPr>
          <w:rFonts w:ascii="Calibri" w:hAnsi="Calibri"/>
          <w:b/>
          <w:color w:val="525866"/>
          <w:sz w:val="22"/>
        </w:rPr>
        <w:t xml:space="preserve">Read-Through Relevance: </w:t>
      </w:r>
      <w:r>
        <w:rPr>
          <w:rFonts w:ascii="Calibri" w:hAnsi="Calibri"/>
          <w:color w:val="525866"/>
          <w:sz w:val="22"/>
        </w:rPr>
        <w:t>HIGH — Data center demand validation and large-load tariff framework</w:t>
      </w:r>
    </w:p>
    <w:p>
      <w:pPr>
        <w:pStyle w:val="ListBullet"/>
        <w:ind w:left="360" w:hanging="360"/>
      </w:pPr>
      <w:r>
        <w:rPr>
          <w:rFonts w:ascii="Calibri" w:hAnsi="Calibri"/>
          <w:color w:val="525866"/>
          <w:sz w:val="22"/>
        </w:rPr>
        <w:t xml:space="preserve">NEE updated its FPL large load expectations from 6 GW to 8 GW by 2032 as part of a new four-year rate agreement, with 21 GW of total large load interest and 12 GW in advanced discussions. </w:t>
      </w:r>
      <w:r>
        <w:rPr>
          <w:rFonts w:ascii="Calibri" w:hAnsi="Calibri"/>
          <w:b/>
          <w:color w:val="525866"/>
          <w:sz w:val="22"/>
        </w:rPr>
        <w:t xml:space="preserve">Read-through for PPL: </w:t>
      </w:r>
      <w:r>
        <w:rPr>
          <w:rFonts w:ascii="Calibri" w:hAnsi="Calibri"/>
          <w:color w:val="525866"/>
          <w:sz w:val="22"/>
        </w:rPr>
        <w:t>Validates the durability and scale of hyperscaler demand across PJM and adjacent markets. PPL’s 28.3 GW Pennsylvania advanced-stage pipeline and 12.9 GW Kentucky pipeline are consistent with the industry-wide demand surge NEE is describing.</w:t>
      </w:r>
    </w:p>
    <w:p>
      <w:pPr>
        <w:pStyle w:val="ListBullet"/>
        <w:ind w:left="360" w:hanging="360"/>
      </w:pPr>
      <w:r>
        <w:rPr>
          <w:rFonts w:ascii="Calibri" w:hAnsi="Calibri"/>
          <w:color w:val="525866"/>
          <w:sz w:val="22"/>
        </w:rPr>
        <w:t xml:space="preserve">NEE expects to announce at least one large load transaction under FPL’s tariff by year-end 2026. Florida’s governor signed legislation codifying the large-load tariff framework. </w:t>
      </w:r>
      <w:r>
        <w:rPr>
          <w:rFonts w:ascii="Calibri" w:hAnsi="Calibri"/>
          <w:b/>
          <w:color w:val="525866"/>
          <w:sz w:val="22"/>
        </w:rPr>
        <w:t xml:space="preserve">Read-through for PPL: </w:t>
      </w:r>
      <w:r>
        <w:rPr>
          <w:rFonts w:ascii="Calibri" w:hAnsi="Calibri"/>
          <w:color w:val="525866"/>
          <w:sz w:val="22"/>
        </w:rPr>
        <w:t>Regulatory codification of large-load tariffs is a sector-wide trend that reduces execution risk for PPL’s own ESA framework and Blackstone JV commercial structures.</w:t>
      </w:r>
    </w:p>
    <w:p>
      <w:pPr>
        <w:pStyle w:val="ListBullet"/>
        <w:ind w:left="360" w:hanging="360"/>
      </w:pPr>
      <w:r>
        <w:rPr>
          <w:rFonts w:ascii="Calibri" w:hAnsi="Calibri"/>
          <w:color w:val="525866"/>
          <w:sz w:val="22"/>
        </w:rPr>
        <w:t xml:space="preserve">NEE is advancing 9.5 GW of gas-fired generation projects in Texas and Pennsylvania for data center customers. </w:t>
      </w:r>
      <w:r>
        <w:rPr>
          <w:rFonts w:ascii="Calibri" w:hAnsi="Calibri"/>
          <w:b/>
          <w:color w:val="525866"/>
          <w:sz w:val="22"/>
        </w:rPr>
        <w:t xml:space="preserve">Read-through for PPL: </w:t>
      </w:r>
      <w:r>
        <w:rPr>
          <w:rFonts w:ascii="Calibri" w:hAnsi="Calibri"/>
          <w:color w:val="525866"/>
          <w:sz w:val="22"/>
        </w:rPr>
        <w:t>NEE is a potential competitor to PPL’s Blackstone JV in Pennsylvania, but also validates the “bring your own generation” trend that is driving hyperscaler demand for PPL’s JV structure.</w:t>
      </w:r>
    </w:p>
    <w:p>
      <w:pPr>
        <w:pStyle w:val="ListBullet"/>
        <w:ind w:left="360" w:hanging="360"/>
      </w:pPr>
      <w:r>
        <w:rPr>
          <w:rFonts w:ascii="Calibri" w:hAnsi="Calibri"/>
          <w:color w:val="525866"/>
          <w:sz w:val="22"/>
        </w:rPr>
        <w:t xml:space="preserve">NEE’s Energy Resources reported ~18% adjusted earnings growth YoY, driven by new investments. </w:t>
      </w:r>
      <w:r>
        <w:rPr>
          <w:rFonts w:ascii="Calibri" w:hAnsi="Calibri"/>
          <w:b/>
          <w:color w:val="525866"/>
          <w:sz w:val="22"/>
        </w:rPr>
        <w:t xml:space="preserve">Read-through for PPL: </w:t>
      </w:r>
      <w:r>
        <w:rPr>
          <w:rFonts w:ascii="Calibri" w:hAnsi="Calibri"/>
          <w:color w:val="525866"/>
          <w:sz w:val="22"/>
        </w:rPr>
        <w:t>Positive sector sentiment; regulated utility earnings growth is broadly tracking above expectations.</w:t>
      </w:r>
    </w:p>
    <w:p>
      <w:pPr>
        <w:pStyle w:val="Heading2"/>
      </w:pPr>
      <w:r>
        <w:rPr>
          <w:rFonts w:ascii="Calibri" w:hAnsi="Calibri"/>
          <w:b/>
          <w:color w:val="3B4259"/>
          <w:sz w:val="28"/>
        </w:rPr>
        <w:t>FirstEnergy (FE) — Q2 2026 Earnings (July 29, 2026)</w:t>
      </w:r>
    </w:p>
    <w:p>
      <w:r>
        <w:rPr>
          <w:rFonts w:ascii="Calibri" w:hAnsi="Calibri"/>
          <w:b/>
          <w:color w:val="525866"/>
          <w:sz w:val="22"/>
        </w:rPr>
        <w:t xml:space="preserve">Read-Through Relevance: </w:t>
      </w:r>
      <w:r>
        <w:rPr>
          <w:rFonts w:ascii="Calibri" w:hAnsi="Calibri"/>
          <w:color w:val="525866"/>
          <w:sz w:val="22"/>
        </w:rPr>
        <w:t>VERY HIGH — Direct PJM overlap; Pennsylvania operations; data center pipeline surge</w:t>
      </w:r>
    </w:p>
    <w:p>
      <w:pPr>
        <w:pStyle w:val="ListBullet"/>
        <w:ind w:left="360" w:hanging="360"/>
      </w:pPr>
      <w:r>
        <w:rPr>
          <w:rFonts w:ascii="Calibri" w:hAnsi="Calibri"/>
          <w:color w:val="525866"/>
          <w:sz w:val="22"/>
        </w:rPr>
        <w:t xml:space="preserve">FirstEnergy’s total forecasted data center demand increased 30% in a single quarter to approximately 25 GW, with 6.4 GW contracted and an additional 1.5 GW expected to contract “in the next couple of weeks.” </w:t>
      </w:r>
      <w:r>
        <w:rPr>
          <w:rFonts w:ascii="Calibri" w:hAnsi="Calibri"/>
          <w:b/>
          <w:color w:val="525866"/>
          <w:sz w:val="22"/>
        </w:rPr>
        <w:t xml:space="preserve">Read-through for PPL: </w:t>
      </w:r>
      <w:r>
        <w:rPr>
          <w:rFonts w:ascii="Calibri" w:hAnsi="Calibri"/>
          <w:color w:val="525866"/>
          <w:sz w:val="22"/>
        </w:rPr>
        <w:t>This is the most direct read-through for PPL’s Pennsylvania pipeline. FE’s 25 GW pipeline and PPL’s 28.3 GW advanced-stage pipeline are both in PJM, confirming that Pennsylvania/PJM is one of the hottest data center markets in the country. The urgency to contract is real and accelerating.</w:t>
      </w:r>
    </w:p>
    <w:p>
      <w:pPr>
        <w:pStyle w:val="ListBullet"/>
        <w:ind w:left="360" w:hanging="360"/>
      </w:pPr>
      <w:r>
        <w:rPr>
          <w:rFonts w:ascii="Calibri" w:hAnsi="Calibri"/>
          <w:color w:val="525866"/>
          <w:sz w:val="22"/>
        </w:rPr>
        <w:t xml:space="preserve">FE contracted 2.1 GW of data center demand in Q2 alone, with contracted demand now representing ~70% of its July system peak load of 34.8 GW. </w:t>
      </w:r>
      <w:r>
        <w:rPr>
          <w:rFonts w:ascii="Calibri" w:hAnsi="Calibri"/>
          <w:b/>
          <w:color w:val="525866"/>
          <w:sz w:val="22"/>
        </w:rPr>
        <w:t xml:space="preserve">Read-through for PPL: </w:t>
      </w:r>
      <w:r>
        <w:rPr>
          <w:rFonts w:ascii="Calibri" w:hAnsi="Calibri"/>
          <w:color w:val="525866"/>
          <w:sz w:val="22"/>
        </w:rPr>
        <w:t>The pace of contracting at FE suggests PPL’s own ESA pipeline (10 GW signed in Pennsylvania) is not an outlier — the entire PJM footprint is seeing rapid conversion from pipeline to contract.</w:t>
      </w:r>
    </w:p>
    <w:p>
      <w:pPr>
        <w:pStyle w:val="ListBullet"/>
        <w:ind w:left="360" w:hanging="360"/>
      </w:pPr>
      <w:r>
        <w:rPr>
          <w:rFonts w:ascii="Calibri" w:hAnsi="Calibri"/>
          <w:color w:val="525866"/>
          <w:sz w:val="22"/>
        </w:rPr>
        <w:t xml:space="preserve">FE’s transmission business has a 16% CAGR through 2030 in its current plan, with ~$250M of investment per GW of contracted data center capacity. FE plans to participate in the 2026 PJM Open Window process (awards Q1 2027). </w:t>
      </w:r>
      <w:r>
        <w:rPr>
          <w:rFonts w:ascii="Calibri" w:hAnsi="Calibri"/>
          <w:b/>
          <w:color w:val="525866"/>
          <w:sz w:val="22"/>
        </w:rPr>
        <w:t xml:space="preserve">Read-through for PPL: </w:t>
      </w:r>
      <w:r>
        <w:rPr>
          <w:rFonts w:ascii="Calibri" w:hAnsi="Calibri"/>
          <w:color w:val="525866"/>
          <w:sz w:val="22"/>
        </w:rPr>
        <w:t>Confirms that transmission capital investment tied to data center load is a durable, multi-year growth driver across PJM. PPL’s $0.5B+ incremental transmission upside from its 28 GW pipeline is consistent with FE’s per-GW investment math.</w:t>
      </w:r>
    </w:p>
    <w:p>
      <w:pPr>
        <w:pStyle w:val="ListBullet"/>
        <w:ind w:left="360" w:hanging="360"/>
      </w:pPr>
      <w:r>
        <w:rPr>
          <w:rFonts w:ascii="Calibri" w:hAnsi="Calibri"/>
          <w:color w:val="525866"/>
          <w:sz w:val="22"/>
        </w:rPr>
        <w:t xml:space="preserve">FE is advancing the 1.2 GW Maysville Energy Center in West Virginia for data center load, evaluating a Genco structure for speed-to-power. </w:t>
      </w:r>
      <w:r>
        <w:rPr>
          <w:rFonts w:ascii="Calibri" w:hAnsi="Calibri"/>
          <w:b/>
          <w:color w:val="525866"/>
          <w:sz w:val="22"/>
        </w:rPr>
        <w:t xml:space="preserve">Read-through for PPL: </w:t>
      </w:r>
      <w:r>
        <w:rPr>
          <w:rFonts w:ascii="Calibri" w:hAnsi="Calibri"/>
          <w:color w:val="525866"/>
          <w:sz w:val="22"/>
        </w:rPr>
        <w:t>The Genco/JV structure for generation serving data centers is gaining traction across PJM utilities, validating PPL’s Blackstone JV approach. FE’s comment that a Genco structure “would be considerably faster than the traditional CPCN process” is directly relevant to PPL’s JV timeline.</w:t>
      </w:r>
    </w:p>
    <w:p>
      <w:pPr>
        <w:pStyle w:val="ListBullet"/>
        <w:ind w:left="360" w:hanging="360"/>
      </w:pPr>
      <w:r>
        <w:rPr>
          <w:rFonts w:ascii="Calibri" w:hAnsi="Calibri"/>
          <w:color w:val="525866"/>
          <w:sz w:val="22"/>
        </w:rPr>
        <w:t xml:space="preserve">FE reaffirmed its $6B 2026 capital plan and 6–8% core earnings growth near the top end through 2030. </w:t>
      </w:r>
      <w:r>
        <w:rPr>
          <w:rFonts w:ascii="Calibri" w:hAnsi="Calibri"/>
          <w:b/>
          <w:color w:val="525866"/>
          <w:sz w:val="22"/>
        </w:rPr>
        <w:t xml:space="preserve">Read-through for PPL: </w:t>
      </w:r>
      <w:r>
        <w:rPr>
          <w:rFonts w:ascii="Calibri" w:hAnsi="Calibri"/>
          <w:color w:val="525866"/>
          <w:sz w:val="22"/>
        </w:rPr>
        <w:t>Positive sector read — no guidance cuts across PJM utilities reduces the risk of a PPL guidance revision.</w:t>
      </w:r>
    </w:p>
    <w:p>
      <w:pPr>
        <w:pStyle w:val="Heading2"/>
      </w:pPr>
      <w:r>
        <w:rPr>
          <w:rFonts w:ascii="Calibri" w:hAnsi="Calibri"/>
          <w:b/>
          <w:color w:val="3B4259"/>
          <w:sz w:val="28"/>
        </w:rPr>
        <w:t>Exelon (EXC) — Q2 2026 Earnings (July 30, 2026)</w:t>
      </w:r>
    </w:p>
    <w:p>
      <w:r>
        <w:rPr>
          <w:rFonts w:ascii="Calibri" w:hAnsi="Calibri"/>
          <w:b/>
          <w:color w:val="525866"/>
          <w:sz w:val="22"/>
        </w:rPr>
        <w:t xml:space="preserve">Read-Through Relevance: </w:t>
      </w:r>
      <w:r>
        <w:rPr>
          <w:rFonts w:ascii="Calibri" w:hAnsi="Calibri"/>
          <w:color w:val="525866"/>
          <w:sz w:val="22"/>
        </w:rPr>
        <w:t>HIGH — PJM capacity market scarcity; transmission investment; Pennsylvania regulatory environment</w:t>
      </w:r>
    </w:p>
    <w:p>
      <w:pPr>
        <w:pStyle w:val="ListBullet"/>
        <w:ind w:left="360" w:hanging="360"/>
      </w:pPr>
      <w:r>
        <w:rPr>
          <w:rFonts w:ascii="Calibri" w:hAnsi="Calibri"/>
          <w:color w:val="525866"/>
          <w:sz w:val="22"/>
        </w:rPr>
        <w:t xml:space="preserve">PJM experienced a record peak demand of 168 GW in July 2026, with capacity auction prices clearing at the FERC-approved cap for the third consecutive auction. The market fell short of PJM’s reliability requirement by 6.8 GW (equivalent to ~7 nuclear reactors of missing supply). Only 525 MW of new generation cleared even at the highest allowed price. </w:t>
      </w:r>
      <w:r>
        <w:rPr>
          <w:rFonts w:ascii="Calibri" w:hAnsi="Calibri"/>
          <w:b/>
          <w:color w:val="525866"/>
          <w:sz w:val="22"/>
        </w:rPr>
        <w:t xml:space="preserve">Read-through for PPL: </w:t>
      </w:r>
      <w:r>
        <w:rPr>
          <w:rFonts w:ascii="Calibri" w:hAnsi="Calibri"/>
          <w:color w:val="525866"/>
          <w:sz w:val="22"/>
        </w:rPr>
        <w:t>This is the most bullish possible backdrop for PPL’s Blackstone JV. PJM’s severe capacity scarcity means new gas generation serving data centers under long-term ESSAs will command premium economics. The “above utility returns” that PPL’s CEO referenced for JV projects are increasingly credible given this supply/demand dynamic.</w:t>
      </w:r>
    </w:p>
    <w:p>
      <w:pPr>
        <w:pStyle w:val="ListBullet"/>
        <w:ind w:left="360" w:hanging="360"/>
      </w:pPr>
      <w:r>
        <w:rPr>
          <w:rFonts w:ascii="Calibri" w:hAnsi="Calibri"/>
          <w:color w:val="525866"/>
          <w:sz w:val="22"/>
        </w:rPr>
        <w:t xml:space="preserve">EXC’s data center pipeline was revised down from 43 GW to 36 GW as speculative projects were “weeded out” through the TSA/collateral process. The $41B capital plan is unchanged because speculative projects were never included. </w:t>
      </w:r>
      <w:r>
        <w:rPr>
          <w:rFonts w:ascii="Calibri" w:hAnsi="Calibri"/>
          <w:b/>
          <w:color w:val="525866"/>
          <w:sz w:val="22"/>
        </w:rPr>
        <w:t xml:space="preserve">Read-through for PPL: </w:t>
      </w:r>
      <w:r>
        <w:rPr>
          <w:rFonts w:ascii="Calibri" w:hAnsi="Calibri"/>
          <w:color w:val="525866"/>
          <w:sz w:val="22"/>
        </w:rPr>
        <w:t>PPL’s ESA framework (with prepayments, credit support, and minimum load obligations) is similarly designed to filter out speculative demand. The EXC experience suggests PPL’s 10 GW of signed ESAs in Pennsylvania represents high-quality, committed demand.</w:t>
      </w:r>
    </w:p>
    <w:p>
      <w:pPr>
        <w:pStyle w:val="ListBullet"/>
        <w:ind w:left="360" w:hanging="360"/>
      </w:pPr>
      <w:r>
        <w:rPr>
          <w:rFonts w:ascii="Calibri" w:hAnsi="Calibri"/>
          <w:color w:val="525866"/>
          <w:sz w:val="22"/>
        </w:rPr>
        <w:t xml:space="preserve">EXC is advocating for utility-owned generation and storage as solutions to PJM’s capacity shortfall. EXC announced a 500 MW battery storage project in New Jersey (~$1B investment). </w:t>
      </w:r>
      <w:r>
        <w:rPr>
          <w:rFonts w:ascii="Calibri" w:hAnsi="Calibri"/>
          <w:b/>
          <w:color w:val="525866"/>
          <w:sz w:val="22"/>
        </w:rPr>
        <w:t xml:space="preserve">Read-through for PPL: </w:t>
      </w:r>
      <w:r>
        <w:rPr>
          <w:rFonts w:ascii="Calibri" w:hAnsi="Calibri"/>
          <w:color w:val="525866"/>
          <w:sz w:val="22"/>
        </w:rPr>
        <w:t>Utility-owned generation is gaining regulatory acceptance across PJM as a reliability solution, which supports PPL’s Blackstone JV model and potential future CPCN filings in Kentucky.</w:t>
      </w:r>
    </w:p>
    <w:p>
      <w:pPr>
        <w:pStyle w:val="ListBullet"/>
        <w:ind w:left="360" w:hanging="360"/>
      </w:pPr>
      <w:r>
        <w:rPr>
          <w:rFonts w:ascii="Calibri" w:hAnsi="Calibri"/>
          <w:color w:val="525866"/>
          <w:sz w:val="22"/>
        </w:rPr>
        <w:t xml:space="preserve">PECO (EXC’s Pennsylvania subsidiary) withdrew its rate case but is having “constructive conversations” with Governor Shapiro’s office on affordability. </w:t>
      </w:r>
      <w:r>
        <w:rPr>
          <w:rFonts w:ascii="Calibri" w:hAnsi="Calibri"/>
          <w:b/>
          <w:color w:val="525866"/>
          <w:sz w:val="22"/>
        </w:rPr>
        <w:t xml:space="preserve">Read-through for PPL: </w:t>
      </w:r>
      <w:r>
        <w:rPr>
          <w:rFonts w:ascii="Calibri" w:hAnsi="Calibri"/>
          <w:color w:val="525866"/>
          <w:sz w:val="22"/>
        </w:rPr>
        <w:t>PPL’s Pennsylvania rate case was approved without modification with a &lt;4% bill impact — a better outcome than PECO’s experience. PPL’s constructive relationship with Pennsylvania regulators is a competitive advantage.</w:t>
      </w:r>
    </w:p>
    <w:p>
      <w:pPr>
        <w:pStyle w:val="Heading2"/>
      </w:pPr>
      <w:r>
        <w:rPr>
          <w:rFonts w:ascii="Calibri" w:hAnsi="Calibri"/>
          <w:b/>
          <w:color w:val="3B4259"/>
          <w:sz w:val="28"/>
        </w:rPr>
        <w:t>Ameren (AEE) — Q2 2026 Earnings (July 31, 2026)</w:t>
      </w:r>
    </w:p>
    <w:p>
      <w:r>
        <w:rPr>
          <w:rFonts w:ascii="Calibri" w:hAnsi="Calibri"/>
          <w:b/>
          <w:color w:val="525866"/>
          <w:sz w:val="22"/>
        </w:rPr>
        <w:t xml:space="preserve">Read-Through Relevance: </w:t>
      </w:r>
      <w:r>
        <w:rPr>
          <w:rFonts w:ascii="Calibri" w:hAnsi="Calibri"/>
          <w:color w:val="525866"/>
          <w:sz w:val="22"/>
        </w:rPr>
        <w:t>MEDIUM — Data center ESA execution; large-load tariff design; rate case strategy</w:t>
      </w:r>
    </w:p>
    <w:p>
      <w:pPr>
        <w:pStyle w:val="ListBullet"/>
        <w:ind w:left="360" w:hanging="360"/>
      </w:pPr>
      <w:r>
        <w:rPr>
          <w:rFonts w:ascii="Calibri" w:hAnsi="Calibri"/>
          <w:color w:val="525866"/>
          <w:sz w:val="22"/>
        </w:rPr>
        <w:t xml:space="preserve">AEE executed 3.4 GW of construction agreements in Missouri (2.8 GW with signed ESAs), with Google and Amazon announcing $25B of combined investment in its service territory. AEE expects annual electricity sales to increase 60% from 2025 levels by end of 2029. </w:t>
      </w:r>
      <w:r>
        <w:rPr>
          <w:rFonts w:ascii="Calibri" w:hAnsi="Calibri"/>
          <w:b/>
          <w:color w:val="525866"/>
          <w:sz w:val="22"/>
        </w:rPr>
        <w:t xml:space="preserve">Read-through for PPL: </w:t>
      </w:r>
      <w:r>
        <w:rPr>
          <w:rFonts w:ascii="Calibri" w:hAnsi="Calibri"/>
          <w:color w:val="525866"/>
          <w:sz w:val="22"/>
        </w:rPr>
        <w:t>The pace of ESA execution at AEE (2.8 GW signed) is consistent with PPL’s 10 GW signed in Pennsylvania. The 60% sales growth projection at AEE underscores the transformational nature of data center load growth for regulated utilities.</w:t>
      </w:r>
    </w:p>
    <w:p>
      <w:pPr>
        <w:pStyle w:val="ListBullet"/>
        <w:ind w:left="360" w:hanging="360"/>
      </w:pPr>
      <w:r>
        <w:rPr>
          <w:rFonts w:ascii="Calibri" w:hAnsi="Calibri"/>
          <w:color w:val="525866"/>
          <w:sz w:val="22"/>
        </w:rPr>
        <w:t xml:space="preserve">AEE’s Missouri rate case request includes $21M of projected base rate savings for customers from data center revenues — demonstrating that large-load customers lower bills for existing customers. </w:t>
      </w:r>
      <w:r>
        <w:rPr>
          <w:rFonts w:ascii="Calibri" w:hAnsi="Calibri"/>
          <w:b/>
          <w:color w:val="525866"/>
          <w:sz w:val="22"/>
        </w:rPr>
        <w:t xml:space="preserve">Read-through for PPL: </w:t>
      </w:r>
      <w:r>
        <w:rPr>
          <w:rFonts w:ascii="Calibri" w:hAnsi="Calibri"/>
          <w:color w:val="525866"/>
          <w:sz w:val="22"/>
        </w:rPr>
        <w:t>PPL has made the same argument in Pennsylvania (incremental load improves system utilization and lowers transmission costs). AEE’s quantification ($21M savings) provides a template for how PPL can frame the customer benefit of its data center strategy.</w:t>
      </w:r>
    </w:p>
    <w:p>
      <w:pPr>
        <w:pStyle w:val="ListBullet"/>
        <w:ind w:left="360" w:hanging="360"/>
      </w:pPr>
      <w:r>
        <w:rPr>
          <w:rFonts w:ascii="Calibri" w:hAnsi="Calibri"/>
          <w:color w:val="525866"/>
          <w:sz w:val="22"/>
        </w:rPr>
        <w:t xml:space="preserve">AEE reaffirmed 2026 EPS guidance of $5.25–$5.45 and expects to be at or above the midpoint. Plans to update long-term growth expectations on the Q3 call following the Missouri IRP filing. </w:t>
      </w:r>
      <w:r>
        <w:rPr>
          <w:rFonts w:ascii="Calibri" w:hAnsi="Calibri"/>
          <w:b/>
          <w:color w:val="525866"/>
          <w:sz w:val="22"/>
        </w:rPr>
        <w:t xml:space="preserve">Read-through for PPL: </w:t>
      </w:r>
      <w:r>
        <w:rPr>
          <w:rFonts w:ascii="Calibri" w:hAnsi="Calibri"/>
          <w:color w:val="525866"/>
          <w:sz w:val="22"/>
        </w:rPr>
        <w:t>Positive sector read; AEE’s plan to update long-term growth expectations upward (driven by data center load) is a template for what PPL could do if/when the Blackstone JV is announced.</w:t>
      </w:r>
    </w:p>
    <w:p>
      <w:pPr>
        <w:pStyle w:val="Heading2"/>
      </w:pPr>
      <w:r>
        <w:rPr>
          <w:rFonts w:ascii="Calibri" w:hAnsi="Calibri"/>
          <w:b/>
          <w:color w:val="3B4259"/>
          <w:sz w:val="28"/>
        </w:rPr>
        <w:t>CenterPoint Energy (CNP) — Q2 2026 Earnings (July 28, 2026)</w:t>
      </w:r>
    </w:p>
    <w:p>
      <w:r>
        <w:rPr>
          <w:rFonts w:ascii="Calibri" w:hAnsi="Calibri"/>
          <w:b/>
          <w:color w:val="525866"/>
          <w:sz w:val="22"/>
        </w:rPr>
        <w:t xml:space="preserve">Read-Through Relevance: </w:t>
      </w:r>
      <w:r>
        <w:rPr>
          <w:rFonts w:ascii="Calibri" w:hAnsi="Calibri"/>
          <w:color w:val="525866"/>
          <w:sz w:val="22"/>
        </w:rPr>
        <w:t>MEDIUM — Large-load contracting mechanics; customer protection frameworks; equity financing</w:t>
      </w:r>
    </w:p>
    <w:p>
      <w:pPr>
        <w:pStyle w:val="ListBullet"/>
        <w:ind w:left="360" w:hanging="360"/>
      </w:pPr>
      <w:r>
        <w:rPr>
          <w:rFonts w:ascii="Calibri" w:hAnsi="Calibri"/>
          <w:color w:val="525866"/>
          <w:sz w:val="22"/>
        </w:rPr>
        <w:t xml:space="preserve">CNP submitted 17 GW of large load projects through ERCOT’s new Batch Zero process, with 14 GW expected to be eligible. CNP expects 50% load growth by year-end 2029, with nearly all projects energized by end of 2030. CNP received ~$900M of customer cash commitments and security. </w:t>
      </w:r>
      <w:r>
        <w:rPr>
          <w:rFonts w:ascii="Calibri" w:hAnsi="Calibri"/>
          <w:b/>
          <w:color w:val="525866"/>
          <w:sz w:val="22"/>
        </w:rPr>
        <w:t xml:space="preserve">Read-through for PPL: </w:t>
      </w:r>
      <w:r>
        <w:rPr>
          <w:rFonts w:ascii="Calibri" w:hAnsi="Calibri"/>
          <w:color w:val="525866"/>
          <w:sz w:val="22"/>
        </w:rPr>
        <w:t>The $900M of upfront customer security at CNP validates PPL’s own ESA structure (prepayments, credit support, minimum load obligations). The financial commitment mechanics are becoming industry standard, reducing stranded cost risk for utilities.</w:t>
      </w:r>
    </w:p>
    <w:p>
      <w:pPr>
        <w:pStyle w:val="ListBullet"/>
        <w:ind w:left="360" w:hanging="360"/>
      </w:pPr>
      <w:r>
        <w:rPr>
          <w:rFonts w:ascii="Calibri" w:hAnsi="Calibri"/>
          <w:color w:val="525866"/>
          <w:sz w:val="22"/>
        </w:rPr>
        <w:t xml:space="preserve">CNP announced a $1.2B capital plan increase (no additional equity needed) driven by large-load system upgrades. CNP’s Houston Electric rate base is expected to grow 18%+ over the next three years. </w:t>
      </w:r>
      <w:r>
        <w:rPr>
          <w:rFonts w:ascii="Calibri" w:hAnsi="Calibri"/>
          <w:b/>
          <w:color w:val="525866"/>
          <w:sz w:val="22"/>
        </w:rPr>
        <w:t xml:space="preserve">Read-through for PPL: </w:t>
      </w:r>
      <w:r>
        <w:rPr>
          <w:rFonts w:ascii="Calibri" w:hAnsi="Calibri"/>
          <w:color w:val="525866"/>
          <w:sz w:val="22"/>
        </w:rPr>
        <w:t>PPL’s $0.5B+ incremental transmission upside from its 28 GW Pennsylvania pipeline is conservative relative to CNP’s per-GW investment math. The “no additional equity” framing at CNP is also relevant — PPL has already de-risked ~2/3 of its equity needs.</w:t>
      </w:r>
    </w:p>
    <w:p>
      <w:pPr>
        <w:pStyle w:val="ListBullet"/>
        <w:ind w:left="360" w:hanging="360"/>
      </w:pPr>
      <w:r>
        <w:rPr>
          <w:rFonts w:ascii="Calibri" w:hAnsi="Calibri"/>
          <w:color w:val="525866"/>
          <w:sz w:val="22"/>
        </w:rPr>
        <w:t xml:space="preserve">CNP reiterated 2026 non-GAAP EPS guidance of $1.89–$1.91 (8% growth) and long-term 7–9% growth through 2035. </w:t>
      </w:r>
      <w:r>
        <w:rPr>
          <w:rFonts w:ascii="Calibri" w:hAnsi="Calibri"/>
          <w:b/>
          <w:color w:val="525866"/>
          <w:sz w:val="22"/>
        </w:rPr>
        <w:t xml:space="preserve">Read-through for PPL: </w:t>
      </w:r>
      <w:r>
        <w:rPr>
          <w:rFonts w:ascii="Calibri" w:hAnsi="Calibri"/>
          <w:color w:val="525866"/>
          <w:sz w:val="22"/>
        </w:rPr>
        <w:t>Positive sector read; high-growth regulated utilities are delivering on guidance, reducing the risk of a PPL guidance cut.</w:t>
      </w:r>
    </w:p>
    <w:p>
      <w:pPr>
        <w:pStyle w:val="Heading2"/>
      </w:pPr>
      <w:r>
        <w:rPr>
          <w:rFonts w:ascii="Calibri" w:hAnsi="Calibri"/>
          <w:b/>
          <w:color w:val="3B4259"/>
          <w:sz w:val="28"/>
        </w:rPr>
        <w:t>Xcel Energy (XEL) — Q2 2026 Earnings (July 30, 2026)</w:t>
      </w:r>
    </w:p>
    <w:p>
      <w:r>
        <w:rPr>
          <w:rFonts w:ascii="Calibri" w:hAnsi="Calibri"/>
          <w:b/>
          <w:color w:val="525866"/>
          <w:sz w:val="22"/>
        </w:rPr>
        <w:t xml:space="preserve">Read-Through Relevance: </w:t>
      </w:r>
      <w:r>
        <w:rPr>
          <w:rFonts w:ascii="Calibri" w:hAnsi="Calibri"/>
          <w:color w:val="525866"/>
          <w:sz w:val="22"/>
        </w:rPr>
        <w:t>MEDIUM — Large-load tariff approvals; regulatory execution; generation investment for data centers</w:t>
      </w:r>
    </w:p>
    <w:p>
      <w:pPr>
        <w:pStyle w:val="ListBullet"/>
        <w:ind w:left="360" w:hanging="360"/>
      </w:pPr>
      <w:r>
        <w:rPr>
          <w:rFonts w:ascii="Calibri" w:hAnsi="Calibri"/>
          <w:color w:val="525866"/>
          <w:sz w:val="22"/>
        </w:rPr>
        <w:t xml:space="preserve">XEL received approval for its large-load tariff in Minnesota and made additional filings in Colorado and Wisconsin. XEL has 20 GW of high-probability data center demand and expects to secure 4 additional GW by year-end 2027. For every GW of data center, XEL estimates $5–6B of generation investment. </w:t>
      </w:r>
      <w:r>
        <w:rPr>
          <w:rFonts w:ascii="Calibri" w:hAnsi="Calibri"/>
          <w:b/>
          <w:color w:val="525866"/>
          <w:sz w:val="22"/>
        </w:rPr>
        <w:t xml:space="preserve">Read-through for PPL: </w:t>
      </w:r>
      <w:r>
        <w:rPr>
          <w:rFonts w:ascii="Calibri" w:hAnsi="Calibri"/>
          <w:color w:val="525866"/>
          <w:sz w:val="22"/>
        </w:rPr>
        <w:t>The $5–6B per GW generation investment figure at XEL is directionally consistent with PPL’s Blackstone JV economics. Large-load tariff approvals across multiple states (MN, CO, WI) confirm the regulatory pathway is open for PPL’s own ESA framework.</w:t>
      </w:r>
    </w:p>
    <w:p>
      <w:pPr>
        <w:pStyle w:val="ListBullet"/>
        <w:ind w:left="360" w:hanging="360"/>
      </w:pPr>
      <w:r>
        <w:rPr>
          <w:rFonts w:ascii="Calibri" w:hAnsi="Calibri"/>
          <w:color w:val="525866"/>
          <w:sz w:val="22"/>
        </w:rPr>
        <w:t xml:space="preserve">XEL advanced settlements in six active rate cases, keeping long-term bill growth at or below inflation. XEL reaffirmed 2026 EPS guidance of $4.04–$4.16 and 9%+ EPS growth through 2030. </w:t>
      </w:r>
      <w:r>
        <w:rPr>
          <w:rFonts w:ascii="Calibri" w:hAnsi="Calibri"/>
          <w:b/>
          <w:color w:val="525866"/>
          <w:sz w:val="22"/>
        </w:rPr>
        <w:t xml:space="preserve">Read-through for PPL: </w:t>
      </w:r>
      <w:r>
        <w:rPr>
          <w:rFonts w:ascii="Calibri" w:hAnsi="Calibri"/>
          <w:color w:val="525866"/>
          <w:sz w:val="22"/>
        </w:rPr>
        <w:t>Constructive regulatory outcomes across multiple jurisdictions are the norm for well-run regulated utilities. PPL’s Pennsylvania settlement (approved without modification) is consistent with this sector-wide pattern.</w:t>
      </w:r>
    </w:p>
    <w:p>
      <w:pPr>
        <w:pStyle w:val="ListBullet"/>
        <w:ind w:left="360" w:hanging="360"/>
      </w:pPr>
      <w:r>
        <w:rPr>
          <w:rFonts w:ascii="Calibri" w:hAnsi="Calibri"/>
          <w:color w:val="525866"/>
          <w:sz w:val="22"/>
        </w:rPr>
        <w:t xml:space="preserve">XEL’s SPS RFP selected 2,600 MW of company-owned generation (70% of portfolio, ~$6B investment). XEL is the largest builder of new high-voltage transmission in the country. </w:t>
      </w:r>
      <w:r>
        <w:rPr>
          <w:rFonts w:ascii="Calibri" w:hAnsi="Calibri"/>
          <w:b/>
          <w:color w:val="525866"/>
          <w:sz w:val="22"/>
        </w:rPr>
        <w:t xml:space="preserve">Read-through for PPL: </w:t>
      </w:r>
      <w:r>
        <w:rPr>
          <w:rFonts w:ascii="Calibri" w:hAnsi="Calibri"/>
          <w:color w:val="525866"/>
          <w:sz w:val="22"/>
        </w:rPr>
        <w:t>Utility-owned generation and transmission are both growing as investment categories. PPL’s $23B capital plan through 2029 is well-positioned in this environment.</w:t>
      </w:r>
    </w:p>
    <w:p>
      <w:pPr>
        <w:pStyle w:val="Heading2"/>
      </w:pPr>
      <w:r>
        <w:rPr>
          <w:rFonts w:ascii="Calibri" w:hAnsi="Calibri"/>
          <w:b/>
          <w:color w:val="3B4259"/>
          <w:sz w:val="28"/>
        </w:rPr>
        <w:t>Dominion Energy (D) — Q2 2026 Earnings (July 31, 2026)</w:t>
      </w:r>
    </w:p>
    <w:p>
      <w:r>
        <w:rPr>
          <w:rFonts w:ascii="Calibri" w:hAnsi="Calibri"/>
          <w:b/>
          <w:color w:val="525866"/>
          <w:sz w:val="22"/>
        </w:rPr>
        <w:t xml:space="preserve">Read-Through Relevance: </w:t>
      </w:r>
      <w:r>
        <w:rPr>
          <w:rFonts w:ascii="Calibri" w:hAnsi="Calibri"/>
          <w:color w:val="525866"/>
          <w:sz w:val="22"/>
        </w:rPr>
        <w:t>MEDIUM — Virginia data center market dynamics; large-load framework; offshore wind execution</w:t>
      </w:r>
    </w:p>
    <w:p>
      <w:pPr>
        <w:pStyle w:val="ListBullet"/>
        <w:ind w:left="360" w:hanging="360"/>
      </w:pPr>
      <w:r>
        <w:rPr>
          <w:rFonts w:ascii="Calibri" w:hAnsi="Calibri"/>
          <w:color w:val="525866"/>
          <w:sz w:val="22"/>
        </w:rPr>
        <w:t xml:space="preserve">Dominion now has over 53 GW of data center capacity in various stages of contracting, including ~12 GW under signed ESAs — adding 5 GW of contracts (+11%) since year-end. Nine of the Dom zone’s top 10 all-time peak days occurred in 2026. </w:t>
      </w:r>
      <w:r>
        <w:rPr>
          <w:rFonts w:ascii="Calibri" w:hAnsi="Calibri"/>
          <w:b/>
          <w:color w:val="525866"/>
          <w:sz w:val="22"/>
        </w:rPr>
        <w:t xml:space="preserve">Read-through for PPL: </w:t>
      </w:r>
      <w:r>
        <w:rPr>
          <w:rFonts w:ascii="Calibri" w:hAnsi="Calibri"/>
          <w:color w:val="525866"/>
          <w:sz w:val="22"/>
        </w:rPr>
        <w:t>Virginia remains the world’s leading data center market, and the demand is durable. PPL’s Pennsylvania pipeline (28.3 GW advanced-stage) is the second-largest concentration of data center demand in PJM after Virginia. Dominion’s experience with 12 GW of signed ESAs validates PPL’s 10 GW signed ESA figure.</w:t>
      </w:r>
    </w:p>
    <w:p>
      <w:pPr>
        <w:pStyle w:val="ListBullet"/>
        <w:ind w:left="360" w:hanging="360"/>
      </w:pPr>
      <w:r>
        <w:rPr>
          <w:rFonts w:ascii="Calibri" w:hAnsi="Calibri"/>
          <w:color w:val="525866"/>
          <w:sz w:val="22"/>
        </w:rPr>
        <w:t xml:space="preserve">Dominion received a final order approving 100% of its 2025 rider filing revenue requests (July 29). South Carolina electric rate case settlement unanimously approved. </w:t>
      </w:r>
      <w:r>
        <w:rPr>
          <w:rFonts w:ascii="Calibri" w:hAnsi="Calibri"/>
          <w:b/>
          <w:color w:val="525866"/>
          <w:sz w:val="22"/>
        </w:rPr>
        <w:t xml:space="preserve">Read-through for PPL: </w:t>
      </w:r>
      <w:r>
        <w:rPr>
          <w:rFonts w:ascii="Calibri" w:hAnsi="Calibri"/>
          <w:color w:val="525866"/>
          <w:sz w:val="22"/>
        </w:rPr>
        <w:t>Constructive regulatory outcomes continue across the sector. PPL’s Pennsylvania and Rhode Island rate cases are tracking similarly.</w:t>
      </w:r>
    </w:p>
    <w:p>
      <w:pPr>
        <w:pStyle w:val="ListBullet"/>
        <w:ind w:left="360" w:hanging="360"/>
      </w:pPr>
      <w:r>
        <w:rPr>
          <w:rFonts w:ascii="Calibri" w:hAnsi="Calibri"/>
          <w:color w:val="525866"/>
          <w:sz w:val="22"/>
        </w:rPr>
        <w:t xml:space="preserve">Dominion’s Coastal Virginia Offshore Wind project is 81% complete, with cost estimate increased ~2% to $11.65B. Final turbine installation pushed to end of 2027. </w:t>
      </w:r>
      <w:r>
        <w:rPr>
          <w:rFonts w:ascii="Calibri" w:hAnsi="Calibri"/>
          <w:b/>
          <w:color w:val="525866"/>
          <w:sz w:val="22"/>
        </w:rPr>
        <w:t xml:space="preserve">Read-through for PPL: </w:t>
      </w:r>
      <w:r>
        <w:rPr>
          <w:rFonts w:ascii="Calibri" w:hAnsi="Calibri"/>
          <w:color w:val="525866"/>
          <w:sz w:val="22"/>
        </w:rPr>
        <w:t>Limited direct read-through for PPL (no offshore wind exposure), but the project’s execution challenges reinforce PPL’s preference for gas-fired generation (via Blackstone JV) over offshore wind for data center load.</w:t>
      </w:r>
    </w:p>
    <w:p>
      <w:pPr>
        <w:pStyle w:val="Heading2"/>
      </w:pPr>
      <w:r>
        <w:rPr>
          <w:rFonts w:ascii="Calibri" w:hAnsi="Calibri"/>
          <w:b/>
          <w:color w:val="3B4259"/>
          <w:sz w:val="28"/>
        </w:rPr>
        <w:t>WEC Energy Group (WEC) — Q2 2026 Earnings (July 29, 2026)</w:t>
      </w:r>
    </w:p>
    <w:p>
      <w:r>
        <w:rPr>
          <w:rFonts w:ascii="Calibri" w:hAnsi="Calibri"/>
          <w:b/>
          <w:color w:val="525866"/>
          <w:sz w:val="22"/>
        </w:rPr>
        <w:t xml:space="preserve">Read-Through Relevance: </w:t>
      </w:r>
      <w:r>
        <w:rPr>
          <w:rFonts w:ascii="Calibri" w:hAnsi="Calibri"/>
          <w:color w:val="525866"/>
          <w:sz w:val="22"/>
        </w:rPr>
        <w:t>MEDIUM — VLC tariff mechanics; data center customer commitment structures; generation investment</w:t>
      </w:r>
    </w:p>
    <w:p>
      <w:pPr>
        <w:pStyle w:val="ListBullet"/>
        <w:ind w:left="360" w:hanging="360"/>
      </w:pPr>
      <w:r>
        <w:rPr>
          <w:rFonts w:ascii="Calibri" w:hAnsi="Calibri"/>
          <w:color w:val="525866"/>
          <w:sz w:val="22"/>
        </w:rPr>
        <w:t xml:space="preserve">WEC’s VLC tariff (approved by Wisconsin PSC in May) requires data center customers to pay their full share of costs, sign up for 20 years for wind/solar and the depreciable life for batteries/gas, and post collateral if credit-rated BBB- or worse. Microsoft’s first data centers are online; Vantage/Oracle construction ongoing with $15B planned investment. </w:t>
      </w:r>
      <w:r>
        <w:rPr>
          <w:rFonts w:ascii="Calibri" w:hAnsi="Calibri"/>
          <w:b/>
          <w:color w:val="525866"/>
          <w:sz w:val="22"/>
        </w:rPr>
        <w:t xml:space="preserve">Read-through for PPL: </w:t>
      </w:r>
      <w:r>
        <w:rPr>
          <w:rFonts w:ascii="Calibri" w:hAnsi="Calibri"/>
          <w:color w:val="525866"/>
          <w:sz w:val="22"/>
        </w:rPr>
        <w:t>WEC’s VLC tariff is one of the most protective in the country and is a template for PPL’s own ESA framework. The 20-year commitment requirement and collateral structure are consistent with PPL’s minimum load obligations and credit support provisions.</w:t>
      </w:r>
    </w:p>
    <w:p>
      <w:pPr>
        <w:pStyle w:val="ListBullet"/>
        <w:ind w:left="360" w:hanging="360"/>
      </w:pPr>
      <w:r>
        <w:rPr>
          <w:rFonts w:ascii="Calibri" w:hAnsi="Calibri"/>
          <w:color w:val="525866"/>
          <w:sz w:val="22"/>
        </w:rPr>
        <w:t xml:space="preserve">WEC reported Q2 2026 EPS of $0.91 (+$0.15 YoY), driven by grid-based growth from VLC customers. Weather-normalized electric retail sales grew 4.2%, driven by VLCs. WEC reaffirmed 2026 guidance of $5.51–$5.61. </w:t>
      </w:r>
      <w:r>
        <w:rPr>
          <w:rFonts w:ascii="Calibri" w:hAnsi="Calibri"/>
          <w:b/>
          <w:color w:val="525866"/>
          <w:sz w:val="22"/>
        </w:rPr>
        <w:t xml:space="preserve">Read-through for PPL: </w:t>
      </w:r>
      <w:r>
        <w:rPr>
          <w:rFonts w:ascii="Calibri" w:hAnsi="Calibri"/>
          <w:color w:val="525866"/>
          <w:sz w:val="22"/>
        </w:rPr>
        <w:t>Data center load is already flowing through to earnings at WEC, validating the earnings accretion timeline. PPL’s own data center revenues (10 GW signed ESAs in Pennsylvania) should begin contributing more meaningfully in 2027–2028.</w:t>
      </w:r>
    </w:p>
    <w:p>
      <w:pPr>
        <w:pStyle w:val="ListBullet"/>
        <w:ind w:left="360" w:hanging="360"/>
      </w:pPr>
      <w:r>
        <w:rPr>
          <w:rFonts w:ascii="Calibri" w:hAnsi="Calibri"/>
          <w:color w:val="525866"/>
          <w:sz w:val="22"/>
        </w:rPr>
        <w:t xml:space="preserve">WEC is considering a combined cycle plant in its next five-year plan to serve data center energy needs (not just capacity). </w:t>
      </w:r>
      <w:r>
        <w:rPr>
          <w:rFonts w:ascii="Calibri" w:hAnsi="Calibri"/>
          <w:b/>
          <w:color w:val="525866"/>
          <w:sz w:val="22"/>
        </w:rPr>
        <w:t xml:space="preserve">Read-through for PPL: </w:t>
      </w:r>
      <w:r>
        <w:rPr>
          <w:rFonts w:ascii="Calibri" w:hAnsi="Calibri"/>
          <w:color w:val="525866"/>
          <w:sz w:val="22"/>
        </w:rPr>
        <w:t>The shift from simple cycle to combined cycle for data center load is consistent with PPL’s Blackstone JV focus on gas turbines (CCGTs) for 24/7 data center power.</w:t>
      </w:r>
    </w:p>
    <w:p>
      <w:pPr>
        <w:pStyle w:val="Heading2"/>
      </w:pPr>
      <w:r>
        <w:rPr>
          <w:rFonts w:ascii="Calibri" w:hAnsi="Calibri"/>
          <w:b/>
          <w:color w:val="3B4259"/>
          <w:sz w:val="28"/>
        </w:rPr>
        <w:t>Entergy (ETR) — Q2 2026 Earnings (July 29, 2026) &amp; Investor Day (June 9, 2026)</w:t>
      </w:r>
    </w:p>
    <w:p>
      <w:r>
        <w:rPr>
          <w:rFonts w:ascii="Calibri" w:hAnsi="Calibri"/>
          <w:b/>
          <w:color w:val="525866"/>
          <w:sz w:val="22"/>
        </w:rPr>
        <w:t xml:space="preserve">Read-Through Relevance: </w:t>
      </w:r>
      <w:r>
        <w:rPr>
          <w:rFonts w:ascii="Calibri" w:hAnsi="Calibri"/>
          <w:color w:val="525866"/>
          <w:sz w:val="22"/>
        </w:rPr>
        <w:t>MEDIUM — Data center contracting discipline; Fair Share Plus framework; generation procurement</w:t>
      </w:r>
    </w:p>
    <w:p>
      <w:pPr>
        <w:pStyle w:val="ListBullet"/>
        <w:ind w:left="360" w:hanging="360"/>
      </w:pPr>
      <w:r>
        <w:rPr>
          <w:rFonts w:ascii="Calibri" w:hAnsi="Calibri"/>
          <w:color w:val="525866"/>
          <w:sz w:val="22"/>
        </w:rPr>
        <w:t xml:space="preserve">Entergy’s ESA backlog has nearly doubled over two years, with 7–12 GW of hyperscale data center potential in its pipeline plus 3–5 GW of traditional industrial interest. Since Investor Day (June 9), interest has “continued to grow” significantly. Retail sales growth is 9% (16% industrial), double what it was two years ago. </w:t>
      </w:r>
      <w:r>
        <w:rPr>
          <w:rFonts w:ascii="Calibri" w:hAnsi="Calibri"/>
          <w:b/>
          <w:color w:val="525866"/>
          <w:sz w:val="22"/>
        </w:rPr>
        <w:t xml:space="preserve">Read-through for PPL: </w:t>
      </w:r>
      <w:r>
        <w:rPr>
          <w:rFonts w:ascii="Calibri" w:hAnsi="Calibri"/>
          <w:color w:val="525866"/>
          <w:sz w:val="22"/>
        </w:rPr>
        <w:t>The pace of demand growth at ETR (doubling in two years) is consistent with PPL’s Kentucky pipeline nearly doubling prior CPCN assumptions. The demand surge is real and broad-based across geographies.</w:t>
      </w:r>
    </w:p>
    <w:p>
      <w:pPr>
        <w:pStyle w:val="ListBullet"/>
        <w:ind w:left="360" w:hanging="360"/>
      </w:pPr>
      <w:r>
        <w:rPr>
          <w:rFonts w:ascii="Calibri" w:hAnsi="Calibri"/>
          <w:color w:val="525866"/>
          <w:sz w:val="22"/>
        </w:rPr>
        <w:t xml:space="preserve">Entergy’s “Fair Share Plus” pledge ensures data centers pay full incremental costs plus their share of fixed costs, resulting in $7B of customer bill benefits over contract lives. Louisiana Governor signed an executive order codifying these requirements. </w:t>
      </w:r>
      <w:r>
        <w:rPr>
          <w:rFonts w:ascii="Calibri" w:hAnsi="Calibri"/>
          <w:b/>
          <w:color w:val="525866"/>
          <w:sz w:val="22"/>
        </w:rPr>
        <w:t xml:space="preserve">Read-through for PPL: </w:t>
      </w:r>
      <w:r>
        <w:rPr>
          <w:rFonts w:ascii="Calibri" w:hAnsi="Calibri"/>
          <w:color w:val="525866"/>
          <w:sz w:val="22"/>
        </w:rPr>
        <w:t>PPL’s own ESA framework (80% minimum load payments, transmission cost sharing) is aligned with the Fair Share Plus model. The Louisiana executive order and White House Ratepayer Protection Pledge are creating a national standard that validates PPL’s approach.</w:t>
      </w:r>
    </w:p>
    <w:p>
      <w:pPr>
        <w:pStyle w:val="ListBullet"/>
        <w:ind w:left="360" w:hanging="360"/>
      </w:pPr>
      <w:r>
        <w:rPr>
          <w:rFonts w:ascii="Calibri" w:hAnsi="Calibri"/>
          <w:color w:val="525866"/>
          <w:sz w:val="22"/>
        </w:rPr>
        <w:t xml:space="preserve">ETR has secured 24 GW of dispatchable generation (mostly CCGTs) and added 6 turbines in the last six months. ETR’s 5-year capital plan has doubled to $67B. </w:t>
      </w:r>
      <w:r>
        <w:rPr>
          <w:rFonts w:ascii="Calibri" w:hAnsi="Calibri"/>
          <w:b/>
          <w:color w:val="525866"/>
          <w:sz w:val="22"/>
        </w:rPr>
        <w:t xml:space="preserve">Read-through for PPL: </w:t>
      </w:r>
      <w:r>
        <w:rPr>
          <w:rFonts w:ascii="Calibri" w:hAnsi="Calibri"/>
          <w:color w:val="525866"/>
          <w:sz w:val="22"/>
        </w:rPr>
        <w:t>The turbine reservation race is real — PPL’s Blackstone JV has already executed multiple gas turbine reservation agreements, which is a critical competitive advantage given long lead times for CCGT equipment.</w:t>
      </w:r>
    </w:p>
    <w:p>
      <w:pPr>
        <w:pStyle w:val="Heading2"/>
      </w:pPr>
      <w:r>
        <w:rPr>
          <w:rFonts w:ascii="Calibri" w:hAnsi="Calibri"/>
          <w:b/>
          <w:color w:val="3B4259"/>
          <w:sz w:val="28"/>
        </w:rPr>
        <w:t>Peer Commentary Summary Table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Peer</w:t>
            </w:r>
          </w:p>
        </w:tc>
        <w:tc>
          <w:tcPr>
            <w:tcW w:type="dxa" w:w="1728"/>
            <w:shd w:val="clear" w:color="auto" w:fill="3B4259"/>
          </w:tcPr>
          <w:p>
            <w:r>
              <w:rPr>
                <w:rFonts w:ascii="Calibri" w:hAnsi="Calibri"/>
                <w:b/>
                <w:color w:val="FFFFFF"/>
                <w:sz w:val="22"/>
              </w:rPr>
              <w:t>Report Date</w:t>
            </w:r>
          </w:p>
        </w:tc>
        <w:tc>
          <w:tcPr>
            <w:tcW w:type="dxa" w:w="1728"/>
            <w:shd w:val="clear" w:color="auto" w:fill="3B4259"/>
          </w:tcPr>
          <w:p>
            <w:r>
              <w:rPr>
                <w:rFonts w:ascii="Calibri" w:hAnsi="Calibri"/>
                <w:b/>
                <w:color w:val="FFFFFF"/>
                <w:sz w:val="22"/>
              </w:rPr>
              <w:t>Key Theme</w:t>
            </w:r>
          </w:p>
        </w:tc>
        <w:tc>
          <w:tcPr>
            <w:tcW w:type="dxa" w:w="1728"/>
            <w:shd w:val="clear" w:color="auto" w:fill="3B4259"/>
          </w:tcPr>
          <w:p>
            <w:r>
              <w:rPr>
                <w:rFonts w:ascii="Calibri" w:hAnsi="Calibri"/>
                <w:b/>
                <w:color w:val="FFFFFF"/>
                <w:sz w:val="22"/>
              </w:rPr>
              <w:t>PPL Read-Through</w:t>
            </w:r>
          </w:p>
        </w:tc>
        <w:tc>
          <w:tcPr>
            <w:tcW w:type="dxa" w:w="1728"/>
            <w:shd w:val="clear" w:color="auto" w:fill="3B4259"/>
          </w:tcPr>
          <w:p>
            <w:r>
              <w:rPr>
                <w:rFonts w:ascii="Calibri" w:hAnsi="Calibri"/>
                <w:b/>
                <w:color w:val="FFFFFF"/>
                <w:sz w:val="22"/>
              </w:rPr>
              <w:t>Relevance</w:t>
            </w:r>
          </w:p>
        </w:tc>
      </w:tr>
      <w:tr>
        <w:tc>
          <w:tcPr>
            <w:tcW w:type="dxa" w:w="1728"/>
          </w:tcPr>
          <w:p>
            <w:r>
              <w:rPr>
                <w:rFonts w:ascii="Calibri" w:hAnsi="Calibri"/>
                <w:sz w:val="22"/>
              </w:rPr>
              <w:t>FirstEnergy (FE)</w:t>
            </w:r>
          </w:p>
        </w:tc>
        <w:tc>
          <w:tcPr>
            <w:tcW w:type="dxa" w:w="1728"/>
          </w:tcPr>
          <w:p>
            <w:r>
              <w:rPr>
                <w:rFonts w:ascii="Calibri" w:hAnsi="Calibri"/>
                <w:sz w:val="22"/>
              </w:rPr>
              <w:t>Jul 29, 2026</w:t>
            </w:r>
          </w:p>
        </w:tc>
        <w:tc>
          <w:tcPr>
            <w:tcW w:type="dxa" w:w="1728"/>
          </w:tcPr>
          <w:p>
            <w:r>
              <w:rPr>
                <w:rFonts w:ascii="Calibri" w:hAnsi="Calibri"/>
                <w:sz w:val="22"/>
              </w:rPr>
              <w:t>PJM data center pipeline +30% in one quarter to 25 GW; 6.4 GW contracted</w:t>
            </w:r>
          </w:p>
        </w:tc>
        <w:tc>
          <w:tcPr>
            <w:tcW w:type="dxa" w:w="1728"/>
          </w:tcPr>
          <w:p>
            <w:r>
              <w:rPr>
                <w:rFonts w:ascii="Calibri" w:hAnsi="Calibri"/>
                <w:sz w:val="22"/>
              </w:rPr>
              <w:t>Validates PPL’s 28.3 GW PA pipeline; PJM demand is real and accelerating</w:t>
            </w:r>
          </w:p>
        </w:tc>
        <w:tc>
          <w:tcPr>
            <w:tcW w:type="dxa" w:w="1728"/>
          </w:tcPr>
          <w:p>
            <w:r>
              <w:rPr>
                <w:rFonts w:ascii="Calibri" w:hAnsi="Calibri"/>
                <w:b/>
                <w:color w:val="30A46C"/>
                <w:sz w:val="22"/>
              </w:rPr>
              <w:t>Very High</w:t>
            </w:r>
          </w:p>
        </w:tc>
      </w:tr>
      <w:tr>
        <w:tc>
          <w:tcPr>
            <w:tcW w:type="dxa" w:w="1728"/>
          </w:tcPr>
          <w:p>
            <w:r>
              <w:rPr>
                <w:rFonts w:ascii="Calibri" w:hAnsi="Calibri"/>
                <w:sz w:val="22"/>
              </w:rPr>
              <w:t>Exelon (EXC)</w:t>
            </w:r>
          </w:p>
        </w:tc>
        <w:tc>
          <w:tcPr>
            <w:tcW w:type="dxa" w:w="1728"/>
          </w:tcPr>
          <w:p>
            <w:r>
              <w:rPr>
                <w:rFonts w:ascii="Calibri" w:hAnsi="Calibri"/>
                <w:sz w:val="22"/>
              </w:rPr>
              <w:t>Jul 30, 2026</w:t>
            </w:r>
          </w:p>
        </w:tc>
        <w:tc>
          <w:tcPr>
            <w:tcW w:type="dxa" w:w="1728"/>
          </w:tcPr>
          <w:p>
            <w:r>
              <w:rPr>
                <w:rFonts w:ascii="Calibri" w:hAnsi="Calibri"/>
                <w:sz w:val="22"/>
              </w:rPr>
              <w:t>PJM capacity shortfall of 6.8 GW; prices at FERC cap for 3rd consecutive auction</w:t>
            </w:r>
          </w:p>
        </w:tc>
        <w:tc>
          <w:tcPr>
            <w:tcW w:type="dxa" w:w="1728"/>
          </w:tcPr>
          <w:p>
            <w:r>
              <w:rPr>
                <w:rFonts w:ascii="Calibri" w:hAnsi="Calibri"/>
                <w:sz w:val="22"/>
              </w:rPr>
              <w:t>Bullish for Blackstone JV economics; new gas generation will command premium returns</w:t>
            </w:r>
          </w:p>
        </w:tc>
        <w:tc>
          <w:tcPr>
            <w:tcW w:type="dxa" w:w="1728"/>
          </w:tcPr>
          <w:p>
            <w:r>
              <w:rPr>
                <w:rFonts w:ascii="Calibri" w:hAnsi="Calibri"/>
                <w:b/>
                <w:color w:val="30A46C"/>
                <w:sz w:val="22"/>
              </w:rPr>
              <w:t>Very High</w:t>
            </w:r>
          </w:p>
        </w:tc>
      </w:tr>
      <w:tr>
        <w:tc>
          <w:tcPr>
            <w:tcW w:type="dxa" w:w="1728"/>
          </w:tcPr>
          <w:p>
            <w:r>
              <w:rPr>
                <w:rFonts w:ascii="Calibri" w:hAnsi="Calibri"/>
                <w:sz w:val="22"/>
              </w:rPr>
              <w:t>NextEra (NEE)</w:t>
            </w:r>
          </w:p>
        </w:tc>
        <w:tc>
          <w:tcPr>
            <w:tcW w:type="dxa" w:w="1728"/>
          </w:tcPr>
          <w:p>
            <w:r>
              <w:rPr>
                <w:rFonts w:ascii="Calibri" w:hAnsi="Calibri"/>
                <w:sz w:val="22"/>
              </w:rPr>
              <w:t>Jul 24, 2026</w:t>
            </w:r>
          </w:p>
        </w:tc>
        <w:tc>
          <w:tcPr>
            <w:tcW w:type="dxa" w:w="1728"/>
          </w:tcPr>
          <w:p>
            <w:r>
              <w:rPr>
                <w:rFonts w:ascii="Calibri" w:hAnsi="Calibri"/>
                <w:sz w:val="22"/>
              </w:rPr>
              <w:t>FPL large load raised to 8 GW by 2032; 21 GW total interest; tariff codified in law</w:t>
            </w:r>
          </w:p>
        </w:tc>
        <w:tc>
          <w:tcPr>
            <w:tcW w:type="dxa" w:w="1728"/>
          </w:tcPr>
          <w:p>
            <w:r>
              <w:rPr>
                <w:rFonts w:ascii="Calibri" w:hAnsi="Calibri"/>
                <w:sz w:val="22"/>
              </w:rPr>
              <w:t>Validates data center demand durability; large-load tariff regulatory pathway confirmed</w:t>
            </w:r>
          </w:p>
        </w:tc>
        <w:tc>
          <w:tcPr>
            <w:tcW w:type="dxa" w:w="1728"/>
          </w:tcPr>
          <w:p>
            <w:r>
              <w:rPr>
                <w:rFonts w:ascii="Calibri" w:hAnsi="Calibri"/>
                <w:b/>
                <w:color w:val="30A46C"/>
                <w:sz w:val="22"/>
              </w:rPr>
              <w:t>High</w:t>
            </w:r>
          </w:p>
        </w:tc>
      </w:tr>
      <w:tr>
        <w:tc>
          <w:tcPr>
            <w:tcW w:type="dxa" w:w="1728"/>
          </w:tcPr>
          <w:p>
            <w:r>
              <w:rPr>
                <w:rFonts w:ascii="Calibri" w:hAnsi="Calibri"/>
                <w:sz w:val="22"/>
              </w:rPr>
              <w:t>Ameren (AEE)</w:t>
            </w:r>
          </w:p>
        </w:tc>
        <w:tc>
          <w:tcPr>
            <w:tcW w:type="dxa" w:w="1728"/>
          </w:tcPr>
          <w:p>
            <w:r>
              <w:rPr>
                <w:rFonts w:ascii="Calibri" w:hAnsi="Calibri"/>
                <w:sz w:val="22"/>
              </w:rPr>
              <w:t>Jul 31, 2026</w:t>
            </w:r>
          </w:p>
        </w:tc>
        <w:tc>
          <w:tcPr>
            <w:tcW w:type="dxa" w:w="1728"/>
          </w:tcPr>
          <w:p>
            <w:r>
              <w:rPr>
                <w:rFonts w:ascii="Calibri" w:hAnsi="Calibri"/>
                <w:sz w:val="22"/>
              </w:rPr>
              <w:t>2.8 GW ESAs signed; Google/Amazon $25B investment; 60% sales growth by 2029</w:t>
            </w:r>
          </w:p>
        </w:tc>
        <w:tc>
          <w:tcPr>
            <w:tcW w:type="dxa" w:w="1728"/>
          </w:tcPr>
          <w:p>
            <w:r>
              <w:rPr>
                <w:rFonts w:ascii="Calibri" w:hAnsi="Calibri"/>
                <w:sz w:val="22"/>
              </w:rPr>
              <w:t>ESA execution pace consistent with PPL; customer savings from data center revenues validated</w:t>
            </w:r>
          </w:p>
        </w:tc>
        <w:tc>
          <w:tcPr>
            <w:tcW w:type="dxa" w:w="1728"/>
          </w:tcPr>
          <w:p>
            <w:r>
              <w:rPr>
                <w:rFonts w:ascii="Calibri" w:hAnsi="Calibri"/>
                <w:sz w:val="22"/>
              </w:rPr>
              <w:t>Medium</w:t>
            </w:r>
          </w:p>
        </w:tc>
      </w:tr>
      <w:tr>
        <w:tc>
          <w:tcPr>
            <w:tcW w:type="dxa" w:w="1728"/>
          </w:tcPr>
          <w:p>
            <w:r>
              <w:rPr>
                <w:rFonts w:ascii="Calibri" w:hAnsi="Calibri"/>
                <w:sz w:val="22"/>
              </w:rPr>
              <w:t>Dominion (D)</w:t>
            </w:r>
          </w:p>
        </w:tc>
        <w:tc>
          <w:tcPr>
            <w:tcW w:type="dxa" w:w="1728"/>
          </w:tcPr>
          <w:p>
            <w:r>
              <w:rPr>
                <w:rFonts w:ascii="Calibri" w:hAnsi="Calibri"/>
                <w:sz w:val="22"/>
              </w:rPr>
              <w:t>Jul 31, 2026</w:t>
            </w:r>
          </w:p>
        </w:tc>
        <w:tc>
          <w:tcPr>
            <w:tcW w:type="dxa" w:w="1728"/>
          </w:tcPr>
          <w:p>
            <w:r>
              <w:rPr>
                <w:rFonts w:ascii="Calibri" w:hAnsi="Calibri"/>
                <w:sz w:val="22"/>
              </w:rPr>
              <w:t>53 GW data center pipeline; 12 GW signed ESAs; 9 of top 10 peak days in 2026</w:t>
            </w:r>
          </w:p>
        </w:tc>
        <w:tc>
          <w:tcPr>
            <w:tcW w:type="dxa" w:w="1728"/>
          </w:tcPr>
          <w:p>
            <w:r>
              <w:rPr>
                <w:rFonts w:ascii="Calibri" w:hAnsi="Calibri"/>
                <w:sz w:val="22"/>
              </w:rPr>
              <w:t>Virginia/PJM demand durability; 12 GW signed ESAs validates PPL’s 10 GW figure</w:t>
            </w:r>
          </w:p>
        </w:tc>
        <w:tc>
          <w:tcPr>
            <w:tcW w:type="dxa" w:w="1728"/>
          </w:tcPr>
          <w:p>
            <w:r>
              <w:rPr>
                <w:rFonts w:ascii="Calibri" w:hAnsi="Calibri"/>
                <w:sz w:val="22"/>
              </w:rPr>
              <w:t>Medium</w:t>
            </w:r>
          </w:p>
        </w:tc>
      </w:tr>
      <w:tr>
        <w:tc>
          <w:tcPr>
            <w:tcW w:type="dxa" w:w="1728"/>
          </w:tcPr>
          <w:p>
            <w:r>
              <w:rPr>
                <w:rFonts w:ascii="Calibri" w:hAnsi="Calibri"/>
                <w:sz w:val="22"/>
              </w:rPr>
              <w:t>WEC Energy (WEC)</w:t>
            </w:r>
          </w:p>
        </w:tc>
        <w:tc>
          <w:tcPr>
            <w:tcW w:type="dxa" w:w="1728"/>
          </w:tcPr>
          <w:p>
            <w:r>
              <w:rPr>
                <w:rFonts w:ascii="Calibri" w:hAnsi="Calibri"/>
                <w:sz w:val="22"/>
              </w:rPr>
              <w:t>Jul 29, 2026</w:t>
            </w:r>
          </w:p>
        </w:tc>
        <w:tc>
          <w:tcPr>
            <w:tcW w:type="dxa" w:w="1728"/>
          </w:tcPr>
          <w:p>
            <w:r>
              <w:rPr>
                <w:rFonts w:ascii="Calibri" w:hAnsi="Calibri"/>
                <w:sz w:val="22"/>
              </w:rPr>
              <w:t>VLC tariff approved; data center load already flowing to earnings; CCGT for energy needs</w:t>
            </w:r>
          </w:p>
        </w:tc>
        <w:tc>
          <w:tcPr>
            <w:tcW w:type="dxa" w:w="1728"/>
          </w:tcPr>
          <w:p>
            <w:r>
              <w:rPr>
                <w:rFonts w:ascii="Calibri" w:hAnsi="Calibri"/>
                <w:sz w:val="22"/>
              </w:rPr>
              <w:t>Tariff mechanics template; CCGT preference validates Blackstone JV gas turbine focus</w:t>
            </w:r>
          </w:p>
        </w:tc>
        <w:tc>
          <w:tcPr>
            <w:tcW w:type="dxa" w:w="1728"/>
          </w:tcPr>
          <w:p>
            <w:r>
              <w:rPr>
                <w:rFonts w:ascii="Calibri" w:hAnsi="Calibri"/>
                <w:sz w:val="22"/>
              </w:rPr>
              <w:t>Medium</w:t>
            </w:r>
          </w:p>
        </w:tc>
      </w:tr>
      <w:tr>
        <w:tc>
          <w:tcPr>
            <w:tcW w:type="dxa" w:w="1728"/>
          </w:tcPr>
          <w:p>
            <w:r>
              <w:rPr>
                <w:rFonts w:ascii="Calibri" w:hAnsi="Calibri"/>
                <w:sz w:val="22"/>
              </w:rPr>
              <w:t>CenterPoint (CNP)</w:t>
            </w:r>
          </w:p>
        </w:tc>
        <w:tc>
          <w:tcPr>
            <w:tcW w:type="dxa" w:w="1728"/>
          </w:tcPr>
          <w:p>
            <w:r>
              <w:rPr>
                <w:rFonts w:ascii="Calibri" w:hAnsi="Calibri"/>
                <w:sz w:val="22"/>
              </w:rPr>
              <w:t>Jul 28, 2026</w:t>
            </w:r>
          </w:p>
        </w:tc>
        <w:tc>
          <w:tcPr>
            <w:tcW w:type="dxa" w:w="1728"/>
          </w:tcPr>
          <w:p>
            <w:r>
              <w:rPr>
                <w:rFonts w:ascii="Calibri" w:hAnsi="Calibri"/>
                <w:sz w:val="22"/>
              </w:rPr>
              <w:t>14 GW Batch Zero eligible; $900M customer security received; $1.2B capex increase</w:t>
            </w:r>
          </w:p>
        </w:tc>
        <w:tc>
          <w:tcPr>
            <w:tcW w:type="dxa" w:w="1728"/>
          </w:tcPr>
          <w:p>
            <w:r>
              <w:rPr>
                <w:rFonts w:ascii="Calibri" w:hAnsi="Calibri"/>
                <w:sz w:val="22"/>
              </w:rPr>
              <w:t>Customer security mechanics validate PPL’s ESA structure; capex upside without equity</w:t>
            </w:r>
          </w:p>
        </w:tc>
        <w:tc>
          <w:tcPr>
            <w:tcW w:type="dxa" w:w="1728"/>
          </w:tcPr>
          <w:p>
            <w:r>
              <w:rPr>
                <w:rFonts w:ascii="Calibri" w:hAnsi="Calibri"/>
                <w:sz w:val="22"/>
              </w:rPr>
              <w:t>Medium</w:t>
            </w:r>
          </w:p>
        </w:tc>
      </w:tr>
      <w:tr>
        <w:tc>
          <w:tcPr>
            <w:tcW w:type="dxa" w:w="1728"/>
          </w:tcPr>
          <w:p>
            <w:r>
              <w:rPr>
                <w:rFonts w:ascii="Calibri" w:hAnsi="Calibri"/>
                <w:sz w:val="22"/>
              </w:rPr>
              <w:t>Entergy (ETR)</w:t>
            </w:r>
          </w:p>
        </w:tc>
        <w:tc>
          <w:tcPr>
            <w:tcW w:type="dxa" w:w="1728"/>
          </w:tcPr>
          <w:p>
            <w:r>
              <w:rPr>
                <w:rFonts w:ascii="Calibri" w:hAnsi="Calibri"/>
                <w:sz w:val="22"/>
              </w:rPr>
              <w:t>Jul 29, 2026</w:t>
            </w:r>
          </w:p>
        </w:tc>
        <w:tc>
          <w:tcPr>
            <w:tcW w:type="dxa" w:w="1728"/>
          </w:tcPr>
          <w:p>
            <w:r>
              <w:rPr>
                <w:rFonts w:ascii="Calibri" w:hAnsi="Calibri"/>
                <w:sz w:val="22"/>
              </w:rPr>
              <w:t>ESA backlog doubled; Fair Share Plus pledge; 24 GW dispatchable gen secured; 6 turbines added</w:t>
            </w:r>
          </w:p>
        </w:tc>
        <w:tc>
          <w:tcPr>
            <w:tcW w:type="dxa" w:w="1728"/>
          </w:tcPr>
          <w:p>
            <w:r>
              <w:rPr>
                <w:rFonts w:ascii="Calibri" w:hAnsi="Calibri"/>
                <w:sz w:val="22"/>
              </w:rPr>
              <w:t>Turbine reservation race validates PPL’s JV positioning; Fair Share Plus aligns with PPL’s ESA framework</w:t>
            </w:r>
          </w:p>
        </w:tc>
        <w:tc>
          <w:tcPr>
            <w:tcW w:type="dxa" w:w="1728"/>
          </w:tcPr>
          <w:p>
            <w:r>
              <w:rPr>
                <w:rFonts w:ascii="Calibri" w:hAnsi="Calibri"/>
                <w:sz w:val="22"/>
              </w:rPr>
              <w:t>Medium</w:t>
            </w:r>
          </w:p>
        </w:tc>
      </w:tr>
      <w:tr>
        <w:tc>
          <w:tcPr>
            <w:tcW w:type="dxa" w:w="1728"/>
          </w:tcPr>
          <w:p>
            <w:r>
              <w:rPr>
                <w:rFonts w:ascii="Calibri" w:hAnsi="Calibri"/>
                <w:sz w:val="22"/>
              </w:rPr>
              <w:t>Xcel (XEL)</w:t>
            </w:r>
          </w:p>
        </w:tc>
        <w:tc>
          <w:tcPr>
            <w:tcW w:type="dxa" w:w="1728"/>
          </w:tcPr>
          <w:p>
            <w:r>
              <w:rPr>
                <w:rFonts w:ascii="Calibri" w:hAnsi="Calibri"/>
                <w:sz w:val="22"/>
              </w:rPr>
              <w:t>Jul 30, 2026</w:t>
            </w:r>
          </w:p>
        </w:tc>
        <w:tc>
          <w:tcPr>
            <w:tcW w:type="dxa" w:w="1728"/>
          </w:tcPr>
          <w:p>
            <w:r>
              <w:rPr>
                <w:rFonts w:ascii="Calibri" w:hAnsi="Calibri"/>
                <w:sz w:val="22"/>
              </w:rPr>
              <w:t>Large-load tariff approved in MN; 20 GW high-probability pipeline; $5–6B/GW gen investment</w:t>
            </w:r>
          </w:p>
        </w:tc>
        <w:tc>
          <w:tcPr>
            <w:tcW w:type="dxa" w:w="1728"/>
          </w:tcPr>
          <w:p>
            <w:r>
              <w:rPr>
                <w:rFonts w:ascii="Calibri" w:hAnsi="Calibri"/>
                <w:sz w:val="22"/>
              </w:rPr>
              <w:t>Tariff approvals across states; per-GW investment math consistent with PPL’s JV economics</w:t>
            </w:r>
          </w:p>
        </w:tc>
        <w:tc>
          <w:tcPr>
            <w:tcW w:type="dxa" w:w="1728"/>
          </w:tcPr>
          <w:p>
            <w:r>
              <w:rPr>
                <w:rFonts w:ascii="Calibri" w:hAnsi="Calibri"/>
                <w:sz w:val="22"/>
              </w:rPr>
              <w:t>Medium</w:t>
            </w:r>
          </w:p>
        </w:tc>
      </w:tr>
    </w:tbl>
    <w:p>
      <w:r>
        <w:br w:type="page"/>
      </w:r>
    </w:p>
    <w:p>
      <w:pPr>
        <w:pStyle w:val="Heading1"/>
        <w:pBdr>
          <w:bottom w:val="single" w:sz="4" w:space="1" w:color="FB9120"/>
        </w:pBdr>
      </w:pPr>
      <w:r>
        <w:rPr>
          <w:rFonts w:ascii="Calibri" w:hAnsi="Calibri"/>
          <w:b/>
          <w:color w:val="3B4259"/>
          <w:sz w:val="40"/>
        </w:rPr>
        <w:t>8. Insider Transaction Activity</w:t>
      </w:r>
    </w:p>
    <w:p>
      <w:r>
        <w:rPr>
          <w:rFonts w:ascii="Calibri" w:hAnsi="Calibri"/>
          <w:b/>
          <w:color w:val="525866"/>
          <w:sz w:val="22"/>
        </w:rPr>
        <w:t xml:space="preserve">Key Takeaway: </w:t>
      </w:r>
      <w:r>
        <w:rPr>
          <w:rFonts w:ascii="Calibri" w:hAnsi="Calibri"/>
          <w:color w:val="525866"/>
          <w:sz w:val="22"/>
        </w:rPr>
        <w:t>No open-market buys or discretionary sells from senior executives since the Q1 earnings date. The only notable transaction is a small 10b5-1 planned sale by a subsidiary president (John Cornett, ~$246K). Director stock unit awards are routine compensation — not a signal. The absence of insider buying at current prices (~$35) is neutral, not alarming, given the stock’s modest decline from the Q1 earnings date.</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Value (approx.)</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Cornett, John Gregory</w:t>
            </w:r>
          </w:p>
        </w:tc>
        <w:tc>
          <w:tcPr>
            <w:tcW w:type="dxa" w:w="1440"/>
          </w:tcPr>
          <w:p>
            <w:r>
              <w:rPr>
                <w:rFonts w:ascii="Calibri" w:hAnsi="Calibri"/>
                <w:sz w:val="22"/>
              </w:rPr>
              <w:t>President, PPL Subsidiary</w:t>
            </w:r>
          </w:p>
        </w:tc>
        <w:tc>
          <w:tcPr>
            <w:tcW w:type="dxa" w:w="1440"/>
          </w:tcPr>
          <w:p>
            <w:r>
              <w:rPr>
                <w:rFonts w:ascii="Calibri" w:hAnsi="Calibri"/>
                <w:sz w:val="22"/>
              </w:rPr>
              <w:t>10b5-1 Planned Sale</w:t>
            </w:r>
          </w:p>
        </w:tc>
        <w:tc>
          <w:tcPr>
            <w:tcW w:type="dxa" w:w="1440"/>
          </w:tcPr>
          <w:p>
            <w:r>
              <w:rPr>
                <w:rFonts w:ascii="Calibri" w:hAnsi="Calibri"/>
                <w:sz w:val="22"/>
              </w:rPr>
              <w:t>~$246K (7,051 shares)</w:t>
            </w:r>
          </w:p>
        </w:tc>
        <w:tc>
          <w:tcPr>
            <w:tcW w:type="dxa" w:w="1440"/>
          </w:tcPr>
          <w:p>
            <w:r>
              <w:rPr>
                <w:rFonts w:ascii="Calibri" w:hAnsi="Calibri"/>
                <w:sz w:val="22"/>
              </w:rPr>
              <w:t>Jun 12, 2026</w:t>
            </w:r>
          </w:p>
        </w:tc>
        <w:tc>
          <w:tcPr>
            <w:tcW w:type="dxa" w:w="1440"/>
          </w:tcPr>
          <w:p>
            <w:r>
              <w:rPr>
                <w:rFonts w:ascii="Calibri" w:hAnsi="Calibri"/>
                <w:sz w:val="22"/>
              </w:rPr>
              <w:t>Pre-planned 10b5-1 sale; not discretionary; routine liquidity transaction</w:t>
            </w:r>
          </w:p>
        </w:tc>
      </w:tr>
      <w:tr>
        <w:tc>
          <w:tcPr>
            <w:tcW w:type="dxa" w:w="1440"/>
          </w:tcPr>
          <w:p>
            <w:r>
              <w:rPr>
                <w:rFonts w:ascii="Calibri" w:hAnsi="Calibri"/>
                <w:sz w:val="22"/>
              </w:rPr>
              <w:t>Beattie, Art P.</w:t>
            </w:r>
          </w:p>
        </w:tc>
        <w:tc>
          <w:tcPr>
            <w:tcW w:type="dxa" w:w="1440"/>
          </w:tcPr>
          <w:p>
            <w:r>
              <w:rPr>
                <w:rFonts w:ascii="Calibri" w:hAnsi="Calibri"/>
                <w:sz w:val="22"/>
              </w:rPr>
              <w:t>Director</w:t>
            </w:r>
          </w:p>
        </w:tc>
        <w:tc>
          <w:tcPr>
            <w:tcW w:type="dxa" w:w="1440"/>
          </w:tcPr>
          <w:p>
            <w:r>
              <w:rPr>
                <w:rFonts w:ascii="Calibri" w:hAnsi="Calibri"/>
                <w:sz w:val="22"/>
              </w:rPr>
              <w:t>Stock Unit Award (DDCP)</w:t>
            </w:r>
          </w:p>
        </w:tc>
        <w:tc>
          <w:tcPr>
            <w:tcW w:type="dxa" w:w="1440"/>
          </w:tcPr>
          <w:p>
            <w:r>
              <w:rPr>
                <w:rFonts w:ascii="Calibri" w:hAnsi="Calibri"/>
                <w:sz w:val="22"/>
              </w:rPr>
              <w:t>~$51K (1,446 units)</w:t>
            </w:r>
          </w:p>
        </w:tc>
        <w:tc>
          <w:tcPr>
            <w:tcW w:type="dxa" w:w="1440"/>
          </w:tcPr>
          <w:p>
            <w:r>
              <w:rPr>
                <w:rFonts w:ascii="Calibri" w:hAnsi="Calibri"/>
                <w:sz w:val="22"/>
              </w:rPr>
              <w:t>Jul 1, 2026</w:t>
            </w:r>
          </w:p>
        </w:tc>
        <w:tc>
          <w:tcPr>
            <w:tcW w:type="dxa" w:w="1440"/>
          </w:tcPr>
          <w:p>
            <w:r>
              <w:rPr>
                <w:rFonts w:ascii="Calibri" w:hAnsi="Calibri"/>
                <w:sz w:val="22"/>
              </w:rPr>
              <w:t>Routine director deferred compensation plan award; not open-market purchase</w:t>
            </w:r>
          </w:p>
        </w:tc>
      </w:tr>
      <w:tr>
        <w:tc>
          <w:tcPr>
            <w:tcW w:type="dxa" w:w="1440"/>
          </w:tcPr>
          <w:p>
            <w:r>
              <w:rPr>
                <w:rFonts w:ascii="Calibri" w:hAnsi="Calibri"/>
                <w:sz w:val="22"/>
              </w:rPr>
              <w:t>De Lima, Armando Zagalo</w:t>
            </w:r>
          </w:p>
        </w:tc>
        <w:tc>
          <w:tcPr>
            <w:tcW w:type="dxa" w:w="1440"/>
          </w:tcPr>
          <w:p>
            <w:r>
              <w:rPr>
                <w:rFonts w:ascii="Calibri" w:hAnsi="Calibri"/>
                <w:sz w:val="22"/>
              </w:rPr>
              <w:t>Director</w:t>
            </w:r>
          </w:p>
        </w:tc>
        <w:tc>
          <w:tcPr>
            <w:tcW w:type="dxa" w:w="1440"/>
          </w:tcPr>
          <w:p>
            <w:r>
              <w:rPr>
                <w:rFonts w:ascii="Calibri" w:hAnsi="Calibri"/>
                <w:sz w:val="22"/>
              </w:rPr>
              <w:t>Stock Unit Award (DDCP)</w:t>
            </w:r>
          </w:p>
        </w:tc>
        <w:tc>
          <w:tcPr>
            <w:tcW w:type="dxa" w:w="1440"/>
          </w:tcPr>
          <w:p>
            <w:r>
              <w:rPr>
                <w:rFonts w:ascii="Calibri" w:hAnsi="Calibri"/>
                <w:sz w:val="22"/>
              </w:rPr>
              <w:t>~$61K (1,755 units)</w:t>
            </w:r>
          </w:p>
        </w:tc>
        <w:tc>
          <w:tcPr>
            <w:tcW w:type="dxa" w:w="1440"/>
          </w:tcPr>
          <w:p>
            <w:r>
              <w:rPr>
                <w:rFonts w:ascii="Calibri" w:hAnsi="Calibri"/>
                <w:sz w:val="22"/>
              </w:rPr>
              <w:t>Jul 1, 2026</w:t>
            </w:r>
          </w:p>
        </w:tc>
        <w:tc>
          <w:tcPr>
            <w:tcW w:type="dxa" w:w="1440"/>
          </w:tcPr>
          <w:p>
            <w:r>
              <w:rPr>
                <w:rFonts w:ascii="Calibri" w:hAnsi="Calibri"/>
                <w:sz w:val="22"/>
              </w:rPr>
              <w:t>Routine director deferred compensation plan award; not open-market purchase</w:t>
            </w:r>
          </w:p>
        </w:tc>
      </w:tr>
      <w:tr>
        <w:tc>
          <w:tcPr>
            <w:tcW w:type="dxa" w:w="1440"/>
          </w:tcPr>
          <w:p>
            <w:r>
              <w:rPr>
                <w:rFonts w:ascii="Calibri" w:hAnsi="Calibri"/>
                <w:sz w:val="22"/>
              </w:rPr>
              <w:t>Madabhushi, Venkata R.</w:t>
            </w:r>
          </w:p>
        </w:tc>
        <w:tc>
          <w:tcPr>
            <w:tcW w:type="dxa" w:w="1440"/>
          </w:tcPr>
          <w:p>
            <w:r>
              <w:rPr>
                <w:rFonts w:ascii="Calibri" w:hAnsi="Calibri"/>
                <w:sz w:val="22"/>
              </w:rPr>
              <w:t>Director</w:t>
            </w:r>
          </w:p>
        </w:tc>
        <w:tc>
          <w:tcPr>
            <w:tcW w:type="dxa" w:w="1440"/>
          </w:tcPr>
          <w:p>
            <w:r>
              <w:rPr>
                <w:rFonts w:ascii="Calibri" w:hAnsi="Calibri"/>
                <w:sz w:val="22"/>
              </w:rPr>
              <w:t>Stock Unit Award (DDCP)</w:t>
            </w:r>
          </w:p>
        </w:tc>
        <w:tc>
          <w:tcPr>
            <w:tcW w:type="dxa" w:w="1440"/>
          </w:tcPr>
          <w:p>
            <w:r>
              <w:rPr>
                <w:rFonts w:ascii="Calibri" w:hAnsi="Calibri"/>
                <w:sz w:val="22"/>
              </w:rPr>
              <w:t>~$43K (1,228 units)</w:t>
            </w:r>
          </w:p>
        </w:tc>
        <w:tc>
          <w:tcPr>
            <w:tcW w:type="dxa" w:w="1440"/>
          </w:tcPr>
          <w:p>
            <w:r>
              <w:rPr>
                <w:rFonts w:ascii="Calibri" w:hAnsi="Calibri"/>
                <w:sz w:val="22"/>
              </w:rPr>
              <w:t>Jul 1, 2026</w:t>
            </w:r>
          </w:p>
        </w:tc>
        <w:tc>
          <w:tcPr>
            <w:tcW w:type="dxa" w:w="1440"/>
          </w:tcPr>
          <w:p>
            <w:r>
              <w:rPr>
                <w:rFonts w:ascii="Calibri" w:hAnsi="Calibri"/>
                <w:sz w:val="22"/>
              </w:rPr>
              <w:t>Routine director deferred compensation plan award; not open-market purchase</w:t>
            </w:r>
          </w:p>
        </w:tc>
      </w:tr>
      <w:tr>
        <w:tc>
          <w:tcPr>
            <w:tcW w:type="dxa" w:w="1440"/>
          </w:tcPr>
          <w:p>
            <w:r>
              <w:rPr>
                <w:rFonts w:ascii="Calibri" w:hAnsi="Calibri"/>
                <w:sz w:val="22"/>
              </w:rPr>
              <w:t>Redman, Heather B.</w:t>
            </w:r>
          </w:p>
        </w:tc>
        <w:tc>
          <w:tcPr>
            <w:tcW w:type="dxa" w:w="1440"/>
          </w:tcPr>
          <w:p>
            <w:r>
              <w:rPr>
                <w:rFonts w:ascii="Calibri" w:hAnsi="Calibri"/>
                <w:sz w:val="22"/>
              </w:rPr>
              <w:t>Director</w:t>
            </w:r>
          </w:p>
        </w:tc>
        <w:tc>
          <w:tcPr>
            <w:tcW w:type="dxa" w:w="1440"/>
          </w:tcPr>
          <w:p>
            <w:r>
              <w:rPr>
                <w:rFonts w:ascii="Calibri" w:hAnsi="Calibri"/>
                <w:sz w:val="22"/>
              </w:rPr>
              <w:t>Stock Unit Award (DDCP)</w:t>
            </w:r>
          </w:p>
        </w:tc>
        <w:tc>
          <w:tcPr>
            <w:tcW w:type="dxa" w:w="1440"/>
          </w:tcPr>
          <w:p>
            <w:r>
              <w:rPr>
                <w:rFonts w:ascii="Calibri" w:hAnsi="Calibri"/>
                <w:sz w:val="22"/>
              </w:rPr>
              <w:t>~$43K (1,228 units)</w:t>
            </w:r>
          </w:p>
        </w:tc>
        <w:tc>
          <w:tcPr>
            <w:tcW w:type="dxa" w:w="1440"/>
          </w:tcPr>
          <w:p>
            <w:r>
              <w:rPr>
                <w:rFonts w:ascii="Calibri" w:hAnsi="Calibri"/>
                <w:sz w:val="22"/>
              </w:rPr>
              <w:t>Jul 1, 2026</w:t>
            </w:r>
          </w:p>
        </w:tc>
        <w:tc>
          <w:tcPr>
            <w:tcW w:type="dxa" w:w="1440"/>
          </w:tcPr>
          <w:p>
            <w:r>
              <w:rPr>
                <w:rFonts w:ascii="Calibri" w:hAnsi="Calibri"/>
                <w:sz w:val="22"/>
              </w:rPr>
              <w:t>Routine director deferred compensation plan award; not open-market purchase</w:t>
            </w:r>
          </w:p>
        </w:tc>
      </w:tr>
      <w:tr>
        <w:tc>
          <w:tcPr>
            <w:tcW w:type="dxa" w:w="1440"/>
          </w:tcPr>
          <w:p>
            <w:r>
              <w:rPr>
                <w:rFonts w:ascii="Calibri" w:hAnsi="Calibri"/>
                <w:sz w:val="22"/>
              </w:rPr>
              <w:t>Rogerson, Craig A.</w:t>
            </w:r>
          </w:p>
        </w:tc>
        <w:tc>
          <w:tcPr>
            <w:tcW w:type="dxa" w:w="1440"/>
          </w:tcPr>
          <w:p>
            <w:r>
              <w:rPr>
                <w:rFonts w:ascii="Calibri" w:hAnsi="Calibri"/>
                <w:sz w:val="22"/>
              </w:rPr>
              <w:t>Director</w:t>
            </w:r>
          </w:p>
        </w:tc>
        <w:tc>
          <w:tcPr>
            <w:tcW w:type="dxa" w:w="1440"/>
          </w:tcPr>
          <w:p>
            <w:r>
              <w:rPr>
                <w:rFonts w:ascii="Calibri" w:hAnsi="Calibri"/>
                <w:sz w:val="22"/>
              </w:rPr>
              <w:t>Stock Unit Award (DDCP)</w:t>
            </w:r>
          </w:p>
        </w:tc>
        <w:tc>
          <w:tcPr>
            <w:tcW w:type="dxa" w:w="1440"/>
          </w:tcPr>
          <w:p>
            <w:r>
              <w:rPr>
                <w:rFonts w:ascii="Calibri" w:hAnsi="Calibri"/>
                <w:sz w:val="22"/>
              </w:rPr>
              <w:t>~$43K (1,228 units)</w:t>
            </w:r>
          </w:p>
        </w:tc>
        <w:tc>
          <w:tcPr>
            <w:tcW w:type="dxa" w:w="1440"/>
          </w:tcPr>
          <w:p>
            <w:r>
              <w:rPr>
                <w:rFonts w:ascii="Calibri" w:hAnsi="Calibri"/>
                <w:sz w:val="22"/>
              </w:rPr>
              <w:t>Jul 1, 2026</w:t>
            </w:r>
          </w:p>
        </w:tc>
        <w:tc>
          <w:tcPr>
            <w:tcW w:type="dxa" w:w="1440"/>
          </w:tcPr>
          <w:p>
            <w:r>
              <w:rPr>
                <w:rFonts w:ascii="Calibri" w:hAnsi="Calibri"/>
                <w:sz w:val="22"/>
              </w:rPr>
              <w:t>Routine director deferred compensation plan award; not open-market purchase</w:t>
            </w:r>
          </w:p>
        </w:tc>
      </w:tr>
      <w:tr>
        <w:tc>
          <w:tcPr>
            <w:tcW w:type="dxa" w:w="1440"/>
          </w:tcPr>
          <w:p>
            <w:r>
              <w:rPr>
                <w:rFonts w:ascii="Calibri" w:hAnsi="Calibri"/>
                <w:sz w:val="22"/>
              </w:rPr>
              <w:t>Sullivan, Linda G.</w:t>
            </w:r>
          </w:p>
        </w:tc>
        <w:tc>
          <w:tcPr>
            <w:tcW w:type="dxa" w:w="1440"/>
          </w:tcPr>
          <w:p>
            <w:r>
              <w:rPr>
                <w:rFonts w:ascii="Calibri" w:hAnsi="Calibri"/>
                <w:sz w:val="22"/>
              </w:rPr>
              <w:t>Director</w:t>
            </w:r>
          </w:p>
        </w:tc>
        <w:tc>
          <w:tcPr>
            <w:tcW w:type="dxa" w:w="1440"/>
          </w:tcPr>
          <w:p>
            <w:r>
              <w:rPr>
                <w:rFonts w:ascii="Calibri" w:hAnsi="Calibri"/>
                <w:sz w:val="22"/>
              </w:rPr>
              <w:t>Stock Unit Award (DDCP)</w:t>
            </w:r>
          </w:p>
        </w:tc>
        <w:tc>
          <w:tcPr>
            <w:tcW w:type="dxa" w:w="1440"/>
          </w:tcPr>
          <w:p>
            <w:r>
              <w:rPr>
                <w:rFonts w:ascii="Calibri" w:hAnsi="Calibri"/>
                <w:sz w:val="22"/>
              </w:rPr>
              <w:t>~$43K (1,228 units)</w:t>
            </w:r>
          </w:p>
        </w:tc>
        <w:tc>
          <w:tcPr>
            <w:tcW w:type="dxa" w:w="1440"/>
          </w:tcPr>
          <w:p>
            <w:r>
              <w:rPr>
                <w:rFonts w:ascii="Calibri" w:hAnsi="Calibri"/>
                <w:sz w:val="22"/>
              </w:rPr>
              <w:t>Jul 1, 2026</w:t>
            </w:r>
          </w:p>
        </w:tc>
        <w:tc>
          <w:tcPr>
            <w:tcW w:type="dxa" w:w="1440"/>
          </w:tcPr>
          <w:p>
            <w:r>
              <w:rPr>
                <w:rFonts w:ascii="Calibri" w:hAnsi="Calibri"/>
                <w:sz w:val="22"/>
              </w:rPr>
              <w:t>Routine director deferred compensation plan award; not open-market purchase</w:t>
            </w:r>
          </w:p>
        </w:tc>
      </w:tr>
      <w:tr>
        <w:tc>
          <w:tcPr>
            <w:tcW w:type="dxa" w:w="1440"/>
          </w:tcPr>
          <w:p>
            <w:r>
              <w:rPr>
                <w:rFonts w:ascii="Calibri" w:hAnsi="Calibri"/>
                <w:sz w:val="22"/>
              </w:rPr>
              <w:t>Williamson, Keith H.</w:t>
            </w:r>
          </w:p>
        </w:tc>
        <w:tc>
          <w:tcPr>
            <w:tcW w:type="dxa" w:w="1440"/>
          </w:tcPr>
          <w:p>
            <w:r>
              <w:rPr>
                <w:rFonts w:ascii="Calibri" w:hAnsi="Calibri"/>
                <w:sz w:val="22"/>
              </w:rPr>
              <w:t>Director</w:t>
            </w:r>
          </w:p>
        </w:tc>
        <w:tc>
          <w:tcPr>
            <w:tcW w:type="dxa" w:w="1440"/>
          </w:tcPr>
          <w:p>
            <w:r>
              <w:rPr>
                <w:rFonts w:ascii="Calibri" w:hAnsi="Calibri"/>
                <w:sz w:val="22"/>
              </w:rPr>
              <w:t>Stock Unit Award (DDCP)</w:t>
            </w:r>
          </w:p>
        </w:tc>
        <w:tc>
          <w:tcPr>
            <w:tcW w:type="dxa" w:w="1440"/>
          </w:tcPr>
          <w:p>
            <w:r>
              <w:rPr>
                <w:rFonts w:ascii="Calibri" w:hAnsi="Calibri"/>
                <w:sz w:val="22"/>
              </w:rPr>
              <w:t>~$43K (1,228 units)</w:t>
            </w:r>
          </w:p>
        </w:tc>
        <w:tc>
          <w:tcPr>
            <w:tcW w:type="dxa" w:w="1440"/>
          </w:tcPr>
          <w:p>
            <w:r>
              <w:rPr>
                <w:rFonts w:ascii="Calibri" w:hAnsi="Calibri"/>
                <w:sz w:val="22"/>
              </w:rPr>
              <w:t>Jul 1, 2026</w:t>
            </w:r>
          </w:p>
        </w:tc>
        <w:tc>
          <w:tcPr>
            <w:tcW w:type="dxa" w:w="1440"/>
          </w:tcPr>
          <w:p>
            <w:r>
              <w:rPr>
                <w:rFonts w:ascii="Calibri" w:hAnsi="Calibri"/>
                <w:sz w:val="22"/>
              </w:rPr>
              <w:t>Routine director deferred compensation plan award; not open-market purchase</w:t>
            </w:r>
          </w:p>
        </w:tc>
      </w:tr>
      <w:tr>
        <w:tc>
          <w:tcPr>
            <w:tcW w:type="dxa" w:w="1440"/>
          </w:tcPr>
          <w:p>
            <w:r>
              <w:rPr>
                <w:rFonts w:ascii="Calibri" w:hAnsi="Calibri"/>
                <w:sz w:val="22"/>
              </w:rPr>
              <w:t>Wood, Phoebe A.</w:t>
            </w:r>
          </w:p>
        </w:tc>
        <w:tc>
          <w:tcPr>
            <w:tcW w:type="dxa" w:w="1440"/>
          </w:tcPr>
          <w:p>
            <w:r>
              <w:rPr>
                <w:rFonts w:ascii="Calibri" w:hAnsi="Calibri"/>
                <w:sz w:val="22"/>
              </w:rPr>
              <w:t>Director</w:t>
            </w:r>
          </w:p>
        </w:tc>
        <w:tc>
          <w:tcPr>
            <w:tcW w:type="dxa" w:w="1440"/>
          </w:tcPr>
          <w:p>
            <w:r>
              <w:rPr>
                <w:rFonts w:ascii="Calibri" w:hAnsi="Calibri"/>
                <w:sz w:val="22"/>
              </w:rPr>
              <w:t>Stock Unit Award (DDCP)</w:t>
            </w:r>
          </w:p>
        </w:tc>
        <w:tc>
          <w:tcPr>
            <w:tcW w:type="dxa" w:w="1440"/>
          </w:tcPr>
          <w:p>
            <w:r>
              <w:rPr>
                <w:rFonts w:ascii="Calibri" w:hAnsi="Calibri"/>
                <w:sz w:val="22"/>
              </w:rPr>
              <w:t>~$43K (1,228 units)</w:t>
            </w:r>
          </w:p>
        </w:tc>
        <w:tc>
          <w:tcPr>
            <w:tcW w:type="dxa" w:w="1440"/>
          </w:tcPr>
          <w:p>
            <w:r>
              <w:rPr>
                <w:rFonts w:ascii="Calibri" w:hAnsi="Calibri"/>
                <w:sz w:val="22"/>
              </w:rPr>
              <w:t>Jul 1, 2026</w:t>
            </w:r>
          </w:p>
        </w:tc>
        <w:tc>
          <w:tcPr>
            <w:tcW w:type="dxa" w:w="1440"/>
          </w:tcPr>
          <w:p>
            <w:r>
              <w:rPr>
                <w:rFonts w:ascii="Calibri" w:hAnsi="Calibri"/>
                <w:sz w:val="22"/>
              </w:rPr>
              <w:t>Routine director deferred compensation plan award; not open-market purchase</w:t>
            </w:r>
          </w:p>
        </w:tc>
      </w:tr>
      <w:tr>
        <w:tc>
          <w:tcPr>
            <w:tcW w:type="dxa" w:w="1440"/>
          </w:tcPr>
          <w:p>
            <w:r>
              <w:rPr>
                <w:rFonts w:ascii="Calibri" w:hAnsi="Calibri"/>
                <w:sz w:val="22"/>
              </w:rPr>
              <w:t>Hartwick, Kenneth Michael</w:t>
            </w:r>
          </w:p>
        </w:tc>
        <w:tc>
          <w:tcPr>
            <w:tcW w:type="dxa" w:w="1440"/>
          </w:tcPr>
          <w:p>
            <w:r>
              <w:rPr>
                <w:rFonts w:ascii="Calibri" w:hAnsi="Calibri"/>
                <w:sz w:val="22"/>
              </w:rPr>
              <w:t>Director (new, eff. Jul 1)</w:t>
            </w:r>
          </w:p>
        </w:tc>
        <w:tc>
          <w:tcPr>
            <w:tcW w:type="dxa" w:w="1440"/>
          </w:tcPr>
          <w:p>
            <w:r>
              <w:rPr>
                <w:rFonts w:ascii="Calibri" w:hAnsi="Calibri"/>
                <w:sz w:val="22"/>
              </w:rPr>
              <w:t>Stock Unit Award (DDCP)</w:t>
            </w:r>
          </w:p>
        </w:tc>
        <w:tc>
          <w:tcPr>
            <w:tcW w:type="dxa" w:w="1440"/>
          </w:tcPr>
          <w:p>
            <w:r>
              <w:rPr>
                <w:rFonts w:ascii="Calibri" w:hAnsi="Calibri"/>
                <w:sz w:val="22"/>
              </w:rPr>
              <w:t>~$43K (1,228 units)</w:t>
            </w:r>
          </w:p>
        </w:tc>
        <w:tc>
          <w:tcPr>
            <w:tcW w:type="dxa" w:w="1440"/>
          </w:tcPr>
          <w:p>
            <w:r>
              <w:rPr>
                <w:rFonts w:ascii="Calibri" w:hAnsi="Calibri"/>
                <w:sz w:val="22"/>
              </w:rPr>
              <w:t>Jul 22, 2026</w:t>
            </w:r>
          </w:p>
        </w:tc>
        <w:tc>
          <w:tcPr>
            <w:tcW w:type="dxa" w:w="1440"/>
          </w:tcPr>
          <w:p>
            <w:r>
              <w:rPr>
                <w:rFonts w:ascii="Calibri" w:hAnsi="Calibri"/>
                <w:sz w:val="22"/>
              </w:rPr>
              <w:t>Initial director compensation award upon joining board; routine</w:t>
            </w:r>
          </w:p>
        </w:tc>
      </w:tr>
    </w:tbl>
    <w:p>
      <w:r>
        <w:rPr>
          <w:rFonts w:ascii="Calibri" w:hAnsi="Calibri"/>
          <w:color w:val="525866"/>
          <w:sz w:val="22"/>
        </w:rPr>
        <w:t>Source: Insider Transaction Data (SEC Form 4 filings). All director stock unit awards are deferred compensation plan (DDCP) grants — routine annual compensation, not open-market purchases. The only sale (Cornett, Jun 12) is a pre-planned 10b5-1 transaction. No open-market buys or discretionary sells from C-suite executives (CEO, CFO, COO) were filed in the period. The absence of executive open-market buying is neutral given the stock’s modest pullback; no insider is signaling distress or unusual conviction in either direction.</w:t>
      </w:r>
    </w:p>
    <w:p>
      <w:r>
        <w:br w:type="page"/>
      </w:r>
    </w:p>
    <w:p>
      <w:pPr>
        <w:pStyle w:val="Heading2"/>
      </w:pPr>
      <w:r>
        <w:rPr>
          <w:rFonts w:ascii="Calibri" w:hAnsi="Calibri"/>
          <w:b/>
          <w:color w:val="3B4259"/>
          <w:sz w:val="28"/>
        </w:rPr>
        <w:t>Disclosures &amp; Data Sources</w:t>
      </w:r>
    </w:p>
    <w:p>
      <w:r>
        <w:rPr>
          <w:rFonts w:ascii="Calibri" w:hAnsi="Calibri"/>
          <w:color w:val="525866"/>
          <w:sz w:val="22"/>
        </w:rPr>
        <w:t>This document was prepared on August 6, 2026 for informational purposes only. All financial data sourced from Visible Alpha Consensus and Actuals Data, PPL Corporation SEC filings and earnings releases, peer company earnings transcripts and releases, Stock Price Data (Yahoo Finance), and Insider Transaction Data (SEC Form 4). Consensus estimates reflect Visible Alpha as of August 6, 2026. Past performance is not indicative of future results. This is not investment advice.</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