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PPL Corporation (NYSE: PPL)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PPL Corporation</w:t>
            </w:r>
          </w:p>
        </w:tc>
      </w:tr>
      <w:tr>
        <w:tc>
          <w:tcPr>
            <w:tcW w:type="dxa" w:w="4320"/>
          </w:tcPr>
          <w:p>
            <w:r>
              <w:rPr>
                <w:rFonts w:ascii="Calibri" w:hAnsi="Calibri"/>
                <w:b/>
                <w:sz w:val="22"/>
              </w:rPr>
              <w:t>Ticker</w:t>
            </w:r>
          </w:p>
        </w:tc>
        <w:tc>
          <w:tcPr>
            <w:tcW w:type="dxa" w:w="4320"/>
          </w:tcPr>
          <w:p>
            <w:r>
              <w:rPr>
                <w:rFonts w:ascii="Calibri" w:hAnsi="Calibri"/>
                <w:sz w:val="22"/>
              </w:rPr>
              <w:t>NYSE: PPL</w:t>
            </w:r>
          </w:p>
        </w:tc>
      </w:tr>
      <w:tr>
        <w:tc>
          <w:tcPr>
            <w:tcW w:type="dxa" w:w="4320"/>
          </w:tcPr>
          <w:p>
            <w:r>
              <w:rPr>
                <w:rFonts w:ascii="Calibri" w:hAnsi="Calibri"/>
                <w:b/>
                <w:sz w:val="22"/>
              </w:rPr>
              <w:t>Reporting Quarter</w:t>
            </w:r>
          </w:p>
        </w:tc>
        <w:tc>
          <w:tcPr>
            <w:tcW w:type="dxa" w:w="4320"/>
          </w:tcPr>
          <w:p>
            <w:r>
              <w:rPr>
                <w:rFonts w:ascii="Calibri" w:hAnsi="Calibri"/>
                <w:sz w:val="22"/>
              </w:rPr>
              <w:t>Q2 2026 (period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August 7, 2026 (webcast announced July 17, 2026)</w:t>
            </w:r>
          </w:p>
        </w:tc>
      </w:tr>
      <w:tr>
        <w:tc>
          <w:tcPr>
            <w:tcW w:type="dxa" w:w="4320"/>
          </w:tcPr>
          <w:p>
            <w:r>
              <w:rPr>
                <w:rFonts w:ascii="Calibri" w:hAnsi="Calibri"/>
                <w:b/>
                <w:sz w:val="22"/>
              </w:rPr>
              <w:t>Preparation Date</w:t>
            </w:r>
          </w:p>
        </w:tc>
        <w:tc>
          <w:tcPr>
            <w:tcW w:type="dxa" w:w="4320"/>
          </w:tcPr>
          <w:p>
            <w:r>
              <w:rPr>
                <w:rFonts w:ascii="Calibri" w:hAnsi="Calibri"/>
                <w:sz w:val="22"/>
              </w:rPr>
              <w:t>August 6, 2026</w:t>
            </w:r>
          </w:p>
        </w:tc>
      </w:tr>
      <w:tr>
        <w:tc>
          <w:tcPr>
            <w:tcW w:type="dxa" w:w="4320"/>
          </w:tcPr>
          <w:p>
            <w:r>
              <w:rPr>
                <w:rFonts w:ascii="Calibri" w:hAnsi="Calibri"/>
                <w:b/>
                <w:sz w:val="22"/>
              </w:rPr>
              <w:t>Last Earnings Date</w:t>
            </w:r>
          </w:p>
        </w:tc>
        <w:tc>
          <w:tcPr>
            <w:tcW w:type="dxa" w:w="4320"/>
          </w:tcPr>
          <w:p>
            <w:r>
              <w:rPr>
                <w:rFonts w:ascii="Calibri" w:hAnsi="Calibri"/>
                <w:sz w:val="22"/>
              </w:rPr>
              <w:t>May 8, 2026 (Q1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&amp; Gas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broadly in-line with a modest beat bias — consensus for Q2 2026 ongoing EPS of ~$0.33 is a low bar relative to PPL’s track record, and the single biggest swing factor is whether the Pennsylvania PUC rate case final order (effective July 1) is confirmed as constructive and whether management provides any incremental Blackstone JV commercial update.</w:t>
      </w:r>
    </w:p>
    <w:p>
      <w:r>
        <w:rPr>
          <w:rFonts w:ascii="Calibri" w:hAnsi="Calibri"/>
          <w:color w:val="525866"/>
          <w:sz w:val="22"/>
        </w:rPr>
        <w:t xml:space="preserve">PPL heads into Q2 2026 results with a manageable bar: consensus ongoing EPS of ~$0.33 compares to $0.32 in Q2 2025, implying only modest year-over-year growth in what is seasonally the weakest quarter for a predominantly heating-load utility. </w:t>
      </w:r>
      <w:r>
        <w:rPr>
          <w:rFonts w:ascii="Calibri" w:hAnsi="Calibri"/>
          <w:b/>
          <w:color w:val="525866"/>
          <w:sz w:val="22"/>
        </w:rPr>
        <w:t>The setup is constructive</w:t>
      </w:r>
      <w:r>
        <w:rPr>
          <w:rFonts w:ascii="Calibri" w:hAnsi="Calibri"/>
          <w:color w:val="525866"/>
          <w:sz w:val="22"/>
        </w:rPr>
        <w:t xml:space="preserve"> — the Pennsylvania distribution rate case settlement received ALJ approval without modification and new rates became effective July 1, 2026, providing a clean regulatory tailwind into the back half of the year, while the Kentucky reconsideration decision (expected Q3) and Rhode Island rate case (September 1 effective date) represent near-term catalysts rather than risks. Management’s tone at Q1 was unambiguously confident: full-year 2026 ongoing EPS guidance of $1.90–$1.98 (midpoint $1.94) was reaffirmed, and the long-term 6–8% EPS CAGR target — expected near the top end — was reiterated alongside a $23 billion capital plan through 2029. Estimate revisions have drifted modestly lower since Q1 (from ~$0.40 to ~$0.33 for Q2), consistent with normal seasonal patterns and not a signal of fundamental deterioration; full-year 2026 consensus of ~$1.95 sits essentially at the guidance midpoint, suggesting the street is not pricing in meaningful upside or downside. The stock has underperformed both XLU and the S&amp;P 500 since the May 8 print (PPL −3.6% vs. XLU −3.0% and SPY +4.2% indexed from last earnings), with multiple compression across all metrics (NTM P/E contracted from ~18.6x to ~17.0x over three months), suggesting the market has not priced in a beat — which is a favorable asymmetry. The </w:t>
      </w:r>
      <w:r>
        <w:rPr>
          <w:rFonts w:ascii="Calibri" w:hAnsi="Calibri"/>
          <w:b/>
          <w:color w:val="525866"/>
          <w:sz w:val="22"/>
        </w:rPr>
        <w:t>key wildcard</w:t>
      </w:r>
      <w:r>
        <w:rPr>
          <w:rFonts w:ascii="Calibri" w:hAnsi="Calibri"/>
          <w:color w:val="525866"/>
          <w:sz w:val="22"/>
        </w:rPr>
        <w:t xml:space="preserve"> is a meaningful Blackstone JV commercial announcement: CEO Vince Sorgi stated at Q1 he would “be surprised if we weren’t announcing something meaningful this year,” and any signed Energy Supply Services Agreement (ESSA) with a hyperscaler would be a material positive catalyst not in the current plan.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EPS (~$0.33 vs. $0.32 prior year) and revenue (~$1.99B vs. $2.03B prior year), with Q2 seasonally the weakest quarter. </w:t>
      </w:r>
      <w:r>
        <w:rPr>
          <w:rFonts w:ascii="Calibri" w:hAnsi="Calibri"/>
          <w:b/>
          <w:color w:val="525866"/>
          <w:sz w:val="22"/>
        </w:rPr>
        <w:t>Rate base growth trajectory and CapEx execution are the bigger swing factors for the full-year story</w:t>
      </w:r>
      <w:r>
        <w:rPr>
          <w:rFonts w:ascii="Calibri" w:hAnsi="Calibri"/>
          <w:color w:val="525866"/>
          <w:sz w:val="22"/>
        </w:rPr>
        <w:t xml:space="preserve"> — any upward revision to the $23B capital plan or incremental data center pipeline disclosure would be the more meaningful signal.</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Ongoing EPS (Diluted, Operating)</w:t>
            </w:r>
          </w:p>
        </w:tc>
        <w:tc>
          <w:tcPr>
            <w:tcW w:type="dxa" w:w="1234"/>
          </w:tcPr>
          <w:p>
            <w:r>
              <w:rPr>
                <w:rFonts w:ascii="Calibri" w:hAnsi="Calibri"/>
                <w:sz w:val="22"/>
              </w:rPr>
              <w:t>$0.63</w:t>
            </w:r>
          </w:p>
        </w:tc>
        <w:tc>
          <w:tcPr>
            <w:tcW w:type="dxa" w:w="1234"/>
          </w:tcPr>
          <w:p>
            <w:r>
              <w:rPr>
                <w:rFonts w:ascii="Calibri" w:hAnsi="Calibri"/>
                <w:sz w:val="22"/>
              </w:rPr>
              <w:t>$0.32</w:t>
            </w:r>
          </w:p>
        </w:tc>
        <w:tc>
          <w:tcPr>
            <w:tcW w:type="dxa" w:w="1234"/>
          </w:tcPr>
          <w:p>
            <w:r>
              <w:rPr>
                <w:rFonts w:ascii="Calibri" w:hAnsi="Calibri"/>
                <w:sz w:val="22"/>
              </w:rPr>
              <w:t>$0.33</w:t>
            </w:r>
          </w:p>
        </w:tc>
        <w:tc>
          <w:tcPr>
            <w:tcW w:type="dxa" w:w="1234"/>
          </w:tcPr>
          <w:p>
            <w:r>
              <w:rPr>
                <w:rFonts w:ascii="Calibri" w:hAnsi="Calibri"/>
                <w:sz w:val="22"/>
              </w:rPr>
              <w:t>+3.1%</w:t>
            </w:r>
          </w:p>
        </w:tc>
        <w:tc>
          <w:tcPr>
            <w:tcW w:type="dxa" w:w="1234"/>
          </w:tcPr>
          <w:p>
            <w:r>
              <w:rPr>
                <w:rFonts w:ascii="Calibri" w:hAnsi="Calibri"/>
                <w:sz w:val="22"/>
              </w:rPr>
              <w:t>$1.90–$1.98 ($1.94 mid)</w:t>
            </w:r>
          </w:p>
        </w:tc>
        <w:tc>
          <w:tcPr>
            <w:tcW w:type="dxa" w:w="1234"/>
          </w:tcPr>
          <w:p>
            <w:r>
              <w:rPr>
                <w:rFonts w:ascii="Calibri" w:hAnsi="Calibri"/>
                <w:sz w:val="22"/>
              </w:rPr>
              <w:t>FY cons. $1.95 vs. $1.94 mid = +0.5%</w:t>
            </w:r>
          </w:p>
        </w:tc>
      </w:tr>
      <w:tr>
        <w:tc>
          <w:tcPr>
            <w:tcW w:type="dxa" w:w="1234"/>
          </w:tcPr>
          <w:p>
            <w:r>
              <w:rPr>
                <w:rFonts w:ascii="Calibri" w:hAnsi="Calibri"/>
                <w:sz w:val="22"/>
              </w:rPr>
              <w:t>Operating Revenues</w:t>
            </w:r>
          </w:p>
        </w:tc>
        <w:tc>
          <w:tcPr>
            <w:tcW w:type="dxa" w:w="1234"/>
          </w:tcPr>
          <w:p>
            <w:r>
              <w:rPr>
                <w:rFonts w:ascii="Calibri" w:hAnsi="Calibri"/>
                <w:sz w:val="22"/>
              </w:rPr>
              <w:t>$2,774M</w:t>
            </w:r>
          </w:p>
        </w:tc>
        <w:tc>
          <w:tcPr>
            <w:tcW w:type="dxa" w:w="1234"/>
          </w:tcPr>
          <w:p>
            <w:r>
              <w:rPr>
                <w:rFonts w:ascii="Calibri" w:hAnsi="Calibri"/>
                <w:sz w:val="22"/>
              </w:rPr>
              <w:t>$2,025M</w:t>
            </w:r>
          </w:p>
        </w:tc>
        <w:tc>
          <w:tcPr>
            <w:tcW w:type="dxa" w:w="1234"/>
          </w:tcPr>
          <w:p>
            <w:r>
              <w:rPr>
                <w:rFonts w:ascii="Calibri" w:hAnsi="Calibri"/>
                <w:sz w:val="22"/>
              </w:rPr>
              <w:t>$1,990M</w:t>
            </w:r>
          </w:p>
        </w:tc>
        <w:tc>
          <w:tcPr>
            <w:tcW w:type="dxa" w:w="1234"/>
          </w:tcPr>
          <w:p>
            <w:r>
              <w:rPr>
                <w:rFonts w:ascii="Calibri" w:hAnsi="Calibri"/>
                <w:sz w:val="22"/>
              </w:rPr>
              <w:t>-1.7%</w:t>
            </w:r>
          </w:p>
        </w:tc>
        <w:tc>
          <w:tcPr>
            <w:tcW w:type="dxa" w:w="1234"/>
          </w:tcPr>
          <w:p>
            <w:r>
              <w:rPr>
                <w:rFonts w:ascii="Calibri" w:hAnsi="Calibri"/>
                <w:sz w:val="22"/>
              </w:rPr>
              <w:t>N/A — no quarterly revenue guidance</w:t>
            </w:r>
          </w:p>
        </w:tc>
        <w:tc>
          <w:tcPr>
            <w:tcW w:type="dxa" w:w="1234"/>
          </w:tcPr>
          <w:p>
            <w:r>
              <w:rPr>
                <w:rFonts w:ascii="Calibri" w:hAnsi="Calibri"/>
                <w:sz w:val="22"/>
              </w:rPr>
              <w:t>N/A</w:t>
            </w:r>
          </w:p>
        </w:tc>
      </w:tr>
      <w:tr>
        <w:tc>
          <w:tcPr>
            <w:tcW w:type="dxa" w:w="1234"/>
          </w:tcPr>
          <w:p>
            <w:r>
              <w:rPr>
                <w:rFonts w:ascii="Calibri" w:hAnsi="Calibri"/>
                <w:sz w:val="22"/>
              </w:rPr>
              <w:t>Total Rate Base</w:t>
            </w:r>
          </w:p>
        </w:tc>
        <w:tc>
          <w:tcPr>
            <w:tcW w:type="dxa" w:w="1234"/>
          </w:tcPr>
          <w:p>
            <w:r>
              <w:rPr>
                <w:rFonts w:ascii="Calibri" w:hAnsi="Calibri"/>
                <w:sz w:val="22"/>
              </w:rPr>
              <w:t>$28.4B</w:t>
            </w:r>
          </w:p>
        </w:tc>
        <w:tc>
          <w:tcPr>
            <w:tcW w:type="dxa" w:w="1234"/>
          </w:tcPr>
          <w:p>
            <w:r>
              <w:rPr>
                <w:rFonts w:ascii="Calibri" w:hAnsi="Calibri"/>
                <w:sz w:val="22"/>
              </w:rPr>
              <w:t>$22.5B</w:t>
            </w:r>
          </w:p>
        </w:tc>
        <w:tc>
          <w:tcPr>
            <w:tcW w:type="dxa" w:w="1234"/>
          </w:tcPr>
          <w:p>
            <w:r>
              <w:rPr>
                <w:rFonts w:ascii="Calibri" w:hAnsi="Calibri"/>
                <w:sz w:val="22"/>
              </w:rPr>
              <w:t>$24.9B (cons.)</w:t>
            </w:r>
          </w:p>
        </w:tc>
        <w:tc>
          <w:tcPr>
            <w:tcW w:type="dxa" w:w="1234"/>
          </w:tcPr>
          <w:p>
            <w:r>
              <w:rPr>
                <w:rFonts w:ascii="Calibri" w:hAnsi="Calibri"/>
                <w:sz w:val="22"/>
              </w:rPr>
              <w:t>+10.5%</w:t>
            </w:r>
          </w:p>
        </w:tc>
        <w:tc>
          <w:tcPr>
            <w:tcW w:type="dxa" w:w="1234"/>
          </w:tcPr>
          <w:p>
            <w:r>
              <w:rPr>
                <w:rFonts w:ascii="Calibri" w:hAnsi="Calibri"/>
                <w:sz w:val="22"/>
              </w:rPr>
              <w:t>~10.3% CAGR through 2029; FY2026 cons. $31.2B</w:t>
            </w:r>
          </w:p>
        </w:tc>
        <w:tc>
          <w:tcPr>
            <w:tcW w:type="dxa" w:w="1234"/>
          </w:tcPr>
          <w:p>
            <w:r>
              <w:rPr>
                <w:rFonts w:ascii="Calibri" w:hAnsi="Calibri"/>
                <w:sz w:val="22"/>
              </w:rPr>
              <w:t>N/A (annual metric)</w:t>
            </w:r>
          </w:p>
        </w:tc>
      </w:tr>
      <w:tr>
        <w:tc>
          <w:tcPr>
            <w:tcW w:type="dxa" w:w="1234"/>
          </w:tcPr>
          <w:p>
            <w:r>
              <w:rPr>
                <w:rFonts w:ascii="Calibri" w:hAnsi="Calibri"/>
                <w:sz w:val="22"/>
              </w:rPr>
              <w:t>CapEx (Expenditures for PP&amp;E)</w:t>
            </w:r>
          </w:p>
        </w:tc>
        <w:tc>
          <w:tcPr>
            <w:tcW w:type="dxa" w:w="1234"/>
          </w:tcPr>
          <w:p>
            <w:r>
              <w:rPr>
                <w:rFonts w:ascii="Calibri" w:hAnsi="Calibri"/>
                <w:sz w:val="22"/>
              </w:rPr>
              <w:t>$1,058M</w:t>
            </w:r>
          </w:p>
        </w:tc>
        <w:tc>
          <w:tcPr>
            <w:tcW w:type="dxa" w:w="1234"/>
          </w:tcPr>
          <w:p>
            <w:r>
              <w:rPr>
                <w:rFonts w:ascii="Calibri" w:hAnsi="Calibri"/>
                <w:sz w:val="22"/>
              </w:rPr>
              <w:t>$930M</w:t>
            </w:r>
          </w:p>
        </w:tc>
        <w:tc>
          <w:tcPr>
            <w:tcW w:type="dxa" w:w="1234"/>
          </w:tcPr>
          <w:p>
            <w:r>
              <w:rPr>
                <w:rFonts w:ascii="Calibri" w:hAnsi="Calibri"/>
                <w:sz w:val="22"/>
              </w:rPr>
              <w:t>$1,135M (cons.)</w:t>
            </w:r>
          </w:p>
        </w:tc>
        <w:tc>
          <w:tcPr>
            <w:tcW w:type="dxa" w:w="1234"/>
          </w:tcPr>
          <w:p>
            <w:r>
              <w:rPr>
                <w:rFonts w:ascii="Calibri" w:hAnsi="Calibri"/>
                <w:sz w:val="22"/>
              </w:rPr>
              <w:t>+22.0%</w:t>
            </w:r>
          </w:p>
        </w:tc>
        <w:tc>
          <w:tcPr>
            <w:tcW w:type="dxa" w:w="1234"/>
          </w:tcPr>
          <w:p>
            <w:r>
              <w:rPr>
                <w:rFonts w:ascii="Calibri" w:hAnsi="Calibri"/>
                <w:sz w:val="22"/>
              </w:rPr>
              <w:t>$5.1B for FY2026; FY cons. $4.93B</w:t>
            </w:r>
          </w:p>
        </w:tc>
        <w:tc>
          <w:tcPr>
            <w:tcW w:type="dxa" w:w="1234"/>
          </w:tcPr>
          <w:p>
            <w:r>
              <w:rPr>
                <w:rFonts w:ascii="Calibri" w:hAnsi="Calibri"/>
                <w:sz w:val="22"/>
              </w:rPr>
              <w:t>FY cons. $4.93B vs. $5.1B guide = -3.3%</w:t>
            </w:r>
          </w:p>
        </w:tc>
      </w:tr>
    </w:tbl>
    <w:p>
      <w:r>
        <w:rPr>
          <w:rFonts w:ascii="Calibri" w:hAnsi="Calibri"/>
          <w:i/>
          <w:color w:val="525866"/>
          <w:sz w:val="22"/>
        </w:rPr>
        <w:t>Sources: Visible Alpha Consensus and Actuals Data</w:t>
      </w:r>
      <w:r>
        <w:rPr>
          <w:rFonts w:ascii="Calibri" w:hAnsi="Calibri"/>
          <w:color w:val="525866"/>
          <w:sz w:val="22"/>
        </w:rPr>
        <w:t xml:space="preserve"> (EPS — Diluted — Operating, Operating revenues, Total Rate Base, Expenditures for property, plant and equipment). Q1 2026 actuals and Q2 2025 actuals from Visible Alpha; Q2 2026 consensus as of August 6, 2026. FY2026 guidance from PPL Q1 2026 earnings release (May 8, 2026).</w:t>
      </w:r>
    </w:p>
    <w:p>
      <w:pPr>
        <w:pStyle w:val="Heading3"/>
      </w:pPr>
      <w:r>
        <w:rPr>
          <w:rFonts w:ascii="Calibri" w:hAnsi="Calibri"/>
          <w:b/>
          <w:color w:val="3B4259"/>
          <w:sz w:val="24"/>
        </w:rPr>
        <w:t>Table 2 — Beat/Miss History: Last 8 Quarters (Top 2 KPIs: Ongoing EPS &amp; Operating Revenues)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Ongoing EPS</w:t>
            </w:r>
          </w:p>
        </w:tc>
        <w:tc>
          <w:tcPr>
            <w:tcW w:type="dxa" w:w="1440"/>
          </w:tcPr>
          <w:p>
            <w:r>
              <w:rPr>
                <w:rFonts w:ascii="Calibri" w:hAnsi="Calibri"/>
                <w:sz w:val="22"/>
              </w:rPr>
              <w:t>$0.63</w:t>
            </w:r>
          </w:p>
        </w:tc>
        <w:tc>
          <w:tcPr>
            <w:tcW w:type="dxa" w:w="1440"/>
          </w:tcPr>
          <w:p>
            <w:r>
              <w:rPr>
                <w:rFonts w:ascii="Calibri" w:hAnsi="Calibri"/>
                <w:sz w:val="22"/>
              </w:rPr>
              <w:t>$0.593</w:t>
            </w:r>
          </w:p>
        </w:tc>
        <w:tc>
          <w:tcPr>
            <w:tcW w:type="dxa" w:w="1440"/>
          </w:tcPr>
          <w:p>
            <w:r>
              <w:rPr>
                <w:rFonts w:ascii="Calibri" w:hAnsi="Calibri"/>
                <w:b/>
                <w:color w:val="30A46C"/>
                <w:sz w:val="22"/>
              </w:rPr>
              <w:t>+6.2%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Operating Revenues</w:t>
            </w:r>
          </w:p>
        </w:tc>
        <w:tc>
          <w:tcPr>
            <w:tcW w:type="dxa" w:w="1440"/>
          </w:tcPr>
          <w:p>
            <w:r>
              <w:rPr>
                <w:rFonts w:ascii="Calibri" w:hAnsi="Calibri"/>
                <w:sz w:val="22"/>
              </w:rPr>
              <w:t>$2,774M</w:t>
            </w:r>
          </w:p>
        </w:tc>
        <w:tc>
          <w:tcPr>
            <w:tcW w:type="dxa" w:w="1440"/>
          </w:tcPr>
          <w:p>
            <w:r>
              <w:rPr>
                <w:rFonts w:ascii="Calibri" w:hAnsi="Calibri"/>
                <w:sz w:val="22"/>
              </w:rPr>
              <w:t>$2,515M</w:t>
            </w:r>
          </w:p>
        </w:tc>
        <w:tc>
          <w:tcPr>
            <w:tcW w:type="dxa" w:w="1440"/>
          </w:tcPr>
          <w:p>
            <w:r>
              <w:rPr>
                <w:rFonts w:ascii="Calibri" w:hAnsi="Calibri"/>
                <w:b/>
                <w:color w:val="30A46C"/>
                <w:sz w:val="22"/>
              </w:rPr>
              <w:t>+10.3%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Ongoing EPS</w:t>
            </w:r>
          </w:p>
        </w:tc>
        <w:tc>
          <w:tcPr>
            <w:tcW w:type="dxa" w:w="1440"/>
          </w:tcPr>
          <w:p>
            <w:r>
              <w:rPr>
                <w:rFonts w:ascii="Calibri" w:hAnsi="Calibri"/>
                <w:sz w:val="22"/>
              </w:rPr>
              <w:t>$0.41</w:t>
            </w:r>
          </w:p>
        </w:tc>
        <w:tc>
          <w:tcPr>
            <w:tcW w:type="dxa" w:w="1440"/>
          </w:tcPr>
          <w:p>
            <w:r>
              <w:rPr>
                <w:rFonts w:ascii="Calibri" w:hAnsi="Calibri"/>
                <w:sz w:val="22"/>
              </w:rPr>
              <w:t>$0.409</w:t>
            </w:r>
          </w:p>
        </w:tc>
        <w:tc>
          <w:tcPr>
            <w:tcW w:type="dxa" w:w="1440"/>
          </w:tcPr>
          <w:p>
            <w:r>
              <w:rPr>
                <w:rFonts w:ascii="Calibri" w:hAnsi="Calibri"/>
                <w:sz w:val="22"/>
              </w:rPr>
              <w:t>+0.2%</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Operating Revenues</w:t>
            </w:r>
          </w:p>
        </w:tc>
        <w:tc>
          <w:tcPr>
            <w:tcW w:type="dxa" w:w="1440"/>
          </w:tcPr>
          <w:p>
            <w:r>
              <w:rPr>
                <w:rFonts w:ascii="Calibri" w:hAnsi="Calibri"/>
                <w:sz w:val="22"/>
              </w:rPr>
              <w:t>$2,274M</w:t>
            </w:r>
          </w:p>
        </w:tc>
        <w:tc>
          <w:tcPr>
            <w:tcW w:type="dxa" w:w="1440"/>
          </w:tcPr>
          <w:p>
            <w:r>
              <w:rPr>
                <w:rFonts w:ascii="Calibri" w:hAnsi="Calibri"/>
                <w:sz w:val="22"/>
              </w:rPr>
              <w:t>$2,251M</w:t>
            </w:r>
          </w:p>
        </w:tc>
        <w:tc>
          <w:tcPr>
            <w:tcW w:type="dxa" w:w="1440"/>
          </w:tcPr>
          <w:p>
            <w:r>
              <w:rPr>
                <w:rFonts w:ascii="Calibri" w:hAnsi="Calibri"/>
                <w:sz w:val="22"/>
              </w:rPr>
              <w:t>+1.0%</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Ongoing EPS</w:t>
            </w:r>
          </w:p>
        </w:tc>
        <w:tc>
          <w:tcPr>
            <w:tcW w:type="dxa" w:w="1440"/>
          </w:tcPr>
          <w:p>
            <w:r>
              <w:rPr>
                <w:rFonts w:ascii="Calibri" w:hAnsi="Calibri"/>
                <w:sz w:val="22"/>
              </w:rPr>
              <w:t>$0.48</w:t>
            </w:r>
          </w:p>
        </w:tc>
        <w:tc>
          <w:tcPr>
            <w:tcW w:type="dxa" w:w="1440"/>
          </w:tcPr>
          <w:p>
            <w:r>
              <w:rPr>
                <w:rFonts w:ascii="Calibri" w:hAnsi="Calibri"/>
                <w:sz w:val="22"/>
              </w:rPr>
              <w:t>$0.458</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Revenues</w:t>
            </w:r>
          </w:p>
        </w:tc>
        <w:tc>
          <w:tcPr>
            <w:tcW w:type="dxa" w:w="1440"/>
          </w:tcPr>
          <w:p>
            <w:r>
              <w:rPr>
                <w:rFonts w:ascii="Calibri" w:hAnsi="Calibri"/>
                <w:sz w:val="22"/>
              </w:rPr>
              <w:t>$2,239M</w:t>
            </w:r>
          </w:p>
        </w:tc>
        <w:tc>
          <w:tcPr>
            <w:tcW w:type="dxa" w:w="1440"/>
          </w:tcPr>
          <w:p>
            <w:r>
              <w:rPr>
                <w:rFonts w:ascii="Calibri" w:hAnsi="Calibri"/>
                <w:sz w:val="22"/>
              </w:rPr>
              <w:t>$2,137M</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Ongoing EPS</w:t>
            </w:r>
          </w:p>
        </w:tc>
        <w:tc>
          <w:tcPr>
            <w:tcW w:type="dxa" w:w="1440"/>
          </w:tcPr>
          <w:p>
            <w:r>
              <w:rPr>
                <w:rFonts w:ascii="Calibri" w:hAnsi="Calibri"/>
                <w:sz w:val="22"/>
              </w:rPr>
              <w:t>$0.32</w:t>
            </w:r>
          </w:p>
        </w:tc>
        <w:tc>
          <w:tcPr>
            <w:tcW w:type="dxa" w:w="1440"/>
          </w:tcPr>
          <w:p>
            <w:r>
              <w:rPr>
                <w:rFonts w:ascii="Calibri" w:hAnsi="Calibri"/>
                <w:sz w:val="22"/>
              </w:rPr>
              <w:t>$0.370</w:t>
            </w:r>
          </w:p>
        </w:tc>
        <w:tc>
          <w:tcPr>
            <w:tcW w:type="dxa" w:w="1440"/>
          </w:tcPr>
          <w:p>
            <w:r>
              <w:rPr>
                <w:rFonts w:ascii="Calibri" w:hAnsi="Calibri"/>
                <w:b/>
                <w:color w:val="E5484D"/>
                <w:sz w:val="22"/>
              </w:rPr>
              <w:t>-13.5%</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Revenues</w:t>
            </w:r>
          </w:p>
        </w:tc>
        <w:tc>
          <w:tcPr>
            <w:tcW w:type="dxa" w:w="1440"/>
          </w:tcPr>
          <w:p>
            <w:r>
              <w:rPr>
                <w:rFonts w:ascii="Calibri" w:hAnsi="Calibri"/>
                <w:sz w:val="22"/>
              </w:rPr>
              <w:t>$2,025M</w:t>
            </w:r>
          </w:p>
        </w:tc>
        <w:tc>
          <w:tcPr>
            <w:tcW w:type="dxa" w:w="1440"/>
          </w:tcPr>
          <w:p>
            <w:r>
              <w:rPr>
                <w:rFonts w:ascii="Calibri" w:hAnsi="Calibri"/>
                <w:sz w:val="22"/>
              </w:rPr>
              <w:t>$1,894M</w:t>
            </w:r>
          </w:p>
        </w:tc>
        <w:tc>
          <w:tcPr>
            <w:tcW w:type="dxa" w:w="1440"/>
          </w:tcPr>
          <w:p>
            <w:r>
              <w:rPr>
                <w:rFonts w:ascii="Calibri" w:hAnsi="Calibri"/>
                <w:b/>
                <w:color w:val="30A46C"/>
                <w:sz w:val="22"/>
              </w:rPr>
              <w:t>+6.9%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Ongoing EPS</w:t>
            </w:r>
          </w:p>
        </w:tc>
        <w:tc>
          <w:tcPr>
            <w:tcW w:type="dxa" w:w="1440"/>
          </w:tcPr>
          <w:p>
            <w:r>
              <w:rPr>
                <w:rFonts w:ascii="Calibri" w:hAnsi="Calibri"/>
                <w:sz w:val="22"/>
              </w:rPr>
              <w:t>$0.60</w:t>
            </w:r>
          </w:p>
        </w:tc>
        <w:tc>
          <w:tcPr>
            <w:tcW w:type="dxa" w:w="1440"/>
          </w:tcPr>
          <w:p>
            <w:r>
              <w:rPr>
                <w:rFonts w:ascii="Calibri" w:hAnsi="Calibri"/>
                <w:sz w:val="22"/>
              </w:rPr>
              <w:t>$0.544</w:t>
            </w:r>
          </w:p>
        </w:tc>
        <w:tc>
          <w:tcPr>
            <w:tcW w:type="dxa" w:w="1440"/>
          </w:tcPr>
          <w:p>
            <w:r>
              <w:rPr>
                <w:rFonts w:ascii="Calibri" w:hAnsi="Calibri"/>
                <w:b/>
                <w:color w:val="30A46C"/>
                <w:sz w:val="22"/>
              </w:rPr>
              <w:t>+10.3%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Revenues</w:t>
            </w:r>
          </w:p>
        </w:tc>
        <w:tc>
          <w:tcPr>
            <w:tcW w:type="dxa" w:w="1440"/>
          </w:tcPr>
          <w:p>
            <w:r>
              <w:rPr>
                <w:rFonts w:ascii="Calibri" w:hAnsi="Calibri"/>
                <w:sz w:val="22"/>
              </w:rPr>
              <w:t>$2,504M</w:t>
            </w:r>
          </w:p>
        </w:tc>
        <w:tc>
          <w:tcPr>
            <w:tcW w:type="dxa" w:w="1440"/>
          </w:tcPr>
          <w:p>
            <w:r>
              <w:rPr>
                <w:rFonts w:ascii="Calibri" w:hAnsi="Calibri"/>
                <w:sz w:val="22"/>
              </w:rPr>
              <w:t>$2,389M</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Ongoing EPS</w:t>
            </w:r>
          </w:p>
        </w:tc>
        <w:tc>
          <w:tcPr>
            <w:tcW w:type="dxa" w:w="1440"/>
          </w:tcPr>
          <w:p>
            <w:r>
              <w:rPr>
                <w:rFonts w:ascii="Calibri" w:hAnsi="Calibri"/>
                <w:sz w:val="22"/>
              </w:rPr>
              <w:t>$0.34</w:t>
            </w:r>
          </w:p>
        </w:tc>
        <w:tc>
          <w:tcPr>
            <w:tcW w:type="dxa" w:w="1440"/>
          </w:tcPr>
          <w:p>
            <w:r>
              <w:rPr>
                <w:rFonts w:ascii="Calibri" w:hAnsi="Calibri"/>
                <w:sz w:val="22"/>
              </w:rPr>
              <w:t>$0.370</w:t>
            </w:r>
          </w:p>
        </w:tc>
        <w:tc>
          <w:tcPr>
            <w:tcW w:type="dxa" w:w="1440"/>
          </w:tcPr>
          <w:p>
            <w:r>
              <w:rPr>
                <w:rFonts w:ascii="Calibri" w:hAnsi="Calibri"/>
                <w:b/>
                <w:color w:val="E5484D"/>
                <w:sz w:val="22"/>
              </w:rPr>
              <w:t>-8.1%</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Operating Revenues</w:t>
            </w:r>
          </w:p>
        </w:tc>
        <w:tc>
          <w:tcPr>
            <w:tcW w:type="dxa" w:w="1440"/>
          </w:tcPr>
          <w:p>
            <w:r>
              <w:rPr>
                <w:rFonts w:ascii="Calibri" w:hAnsi="Calibri"/>
                <w:sz w:val="22"/>
              </w:rPr>
              <w:t>$2,211M</w:t>
            </w:r>
          </w:p>
        </w:tc>
        <w:tc>
          <w:tcPr>
            <w:tcW w:type="dxa" w:w="1440"/>
          </w:tcPr>
          <w:p>
            <w:r>
              <w:rPr>
                <w:rFonts w:ascii="Calibri" w:hAnsi="Calibri"/>
                <w:sz w:val="22"/>
              </w:rPr>
              <w:t>$2,022M</w:t>
            </w:r>
          </w:p>
        </w:tc>
        <w:tc>
          <w:tcPr>
            <w:tcW w:type="dxa" w:w="1440"/>
          </w:tcPr>
          <w:p>
            <w:r>
              <w:rPr>
                <w:rFonts w:ascii="Calibri" w:hAnsi="Calibri"/>
                <w:b/>
                <w:color w:val="30A46C"/>
                <w:sz w:val="22"/>
              </w:rPr>
              <w:t>+9.4%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Ongoing EPS</w:t>
            </w:r>
          </w:p>
        </w:tc>
        <w:tc>
          <w:tcPr>
            <w:tcW w:type="dxa" w:w="1440"/>
          </w:tcPr>
          <w:p>
            <w:r>
              <w:rPr>
                <w:rFonts w:ascii="Calibri" w:hAnsi="Calibri"/>
                <w:sz w:val="22"/>
              </w:rPr>
              <w:t>$0.42</w:t>
            </w:r>
          </w:p>
        </w:tc>
        <w:tc>
          <w:tcPr>
            <w:tcW w:type="dxa" w:w="1440"/>
          </w:tcPr>
          <w:p>
            <w:r>
              <w:rPr>
                <w:rFonts w:ascii="Calibri" w:hAnsi="Calibri"/>
                <w:sz w:val="22"/>
              </w:rPr>
              <w:t>$0.410</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Operating Revenues</w:t>
            </w:r>
          </w:p>
        </w:tc>
        <w:tc>
          <w:tcPr>
            <w:tcW w:type="dxa" w:w="1440"/>
          </w:tcPr>
          <w:p>
            <w:r>
              <w:rPr>
                <w:rFonts w:ascii="Calibri" w:hAnsi="Calibri"/>
                <w:sz w:val="22"/>
              </w:rPr>
              <w:t>$2,066M</w:t>
            </w:r>
          </w:p>
        </w:tc>
        <w:tc>
          <w:tcPr>
            <w:tcW w:type="dxa" w:w="1440"/>
          </w:tcPr>
          <w:p>
            <w:r>
              <w:rPr>
                <w:rFonts w:ascii="Calibri" w:hAnsi="Calibri"/>
                <w:sz w:val="22"/>
              </w:rPr>
              <w:t>$2,003M</w:t>
            </w:r>
          </w:p>
        </w:tc>
        <w:tc>
          <w:tcPr>
            <w:tcW w:type="dxa" w:w="1440"/>
          </w:tcPr>
          <w:p>
            <w:r>
              <w:rPr>
                <w:rFonts w:ascii="Calibri" w:hAnsi="Calibri"/>
                <w:b/>
                <w:color w:val="30A46C"/>
                <w:sz w:val="22"/>
              </w:rPr>
              <w:t>+3.1%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PPL has beaten ongoing EPS consensus in 5 of the last 8 quarters, with the two misses concentrated in Q2 2025 and Q4 2024 — both seasonally weak quarters where the bar was set too high; revenue beats have been more consistent (7 of 8 quarters), suggesting the street systematically underestimates top-line recovery.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May 8 Q1 2026 earnings call — full-year 2026 ongoing EPS of $1.90–$1.98 reaffirmed, long-term 6–8% CAGR near top-end reiterated. </w:t>
      </w:r>
      <w:r>
        <w:rPr>
          <w:rFonts w:ascii="Calibri" w:hAnsi="Calibri"/>
          <w:b/>
          <w:color w:val="525866"/>
          <w:sz w:val="22"/>
        </w:rPr>
        <w:t>No post-earnings guidance revision events have occurred; tone remains confident and execution-focused</w:t>
      </w:r>
      <w:r>
        <w:rPr>
          <w:rFonts w:ascii="Calibri" w:hAnsi="Calibri"/>
          <w:color w:val="525866"/>
          <w:sz w:val="22"/>
        </w:rPr>
        <w:t>, with the Pennsylvania rate case now resolved and the Blackstone JV moving toward a commercial announcement.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Ongoing EPS</w:t>
            </w:r>
          </w:p>
        </w:tc>
        <w:tc>
          <w:tcPr>
            <w:tcW w:type="dxa" w:w="1728"/>
          </w:tcPr>
          <w:p>
            <w:r>
              <w:rPr>
                <w:rFonts w:ascii="Calibri" w:hAnsi="Calibri"/>
                <w:sz w:val="22"/>
              </w:rPr>
              <w:t>$1.90–$1.98 (midpoint $1.94)</w:t>
            </w:r>
          </w:p>
        </w:tc>
        <w:tc>
          <w:tcPr>
            <w:tcW w:type="dxa" w:w="1728"/>
          </w:tcPr>
          <w:p>
            <w:r>
              <w:rPr>
                <w:rFonts w:ascii="Calibri" w:hAnsi="Calibri"/>
                <w:sz w:val="22"/>
              </w:rPr>
              <w:t>— Unchanged</w:t>
            </w:r>
          </w:p>
        </w:tc>
        <w:tc>
          <w:tcPr>
            <w:tcW w:type="dxa" w:w="1728"/>
          </w:tcPr>
          <w:p>
            <w:r>
              <w:rPr>
                <w:rFonts w:ascii="Calibri" w:hAnsi="Calibri"/>
                <w:sz w:val="22"/>
              </w:rPr>
              <w:t>$1.95</w:t>
            </w:r>
          </w:p>
        </w:tc>
        <w:tc>
          <w:tcPr>
            <w:tcW w:type="dxa" w:w="1728"/>
          </w:tcPr>
          <w:p>
            <w:r>
              <w:rPr>
                <w:rFonts w:ascii="Calibri" w:hAnsi="Calibri"/>
                <w:sz w:val="22"/>
              </w:rPr>
              <w:t>Reaffirmed at Q1 print; consensus sits +0.5% above midpoint. No post-earnings revision event.</w:t>
            </w:r>
          </w:p>
        </w:tc>
      </w:tr>
      <w:tr>
        <w:tc>
          <w:tcPr>
            <w:tcW w:type="dxa" w:w="1728"/>
          </w:tcPr>
          <w:p>
            <w:r>
              <w:rPr>
                <w:rFonts w:ascii="Calibri" w:hAnsi="Calibri"/>
                <w:sz w:val="22"/>
              </w:rPr>
              <w:t>Long-Term EPS Growth (through 2029)</w:t>
            </w:r>
          </w:p>
        </w:tc>
        <w:tc>
          <w:tcPr>
            <w:tcW w:type="dxa" w:w="1728"/>
          </w:tcPr>
          <w:p>
            <w:r>
              <w:rPr>
                <w:rFonts w:ascii="Calibri" w:hAnsi="Calibri"/>
                <w:sz w:val="22"/>
              </w:rPr>
              <w:t>6–8% CAGR; “near top end” of range</w:t>
            </w:r>
          </w:p>
        </w:tc>
        <w:tc>
          <w:tcPr>
            <w:tcW w:type="dxa" w:w="1728"/>
          </w:tcPr>
          <w:p>
            <w:r>
              <w:rPr>
                <w:rFonts w:ascii="Calibri" w:hAnsi="Calibri"/>
                <w:sz w:val="22"/>
              </w:rPr>
              <w:t>— Unchanged</w:t>
            </w:r>
          </w:p>
        </w:tc>
        <w:tc>
          <w:tcPr>
            <w:tcW w:type="dxa" w:w="1728"/>
          </w:tcPr>
          <w:p>
            <w:r>
              <w:rPr>
                <w:rFonts w:ascii="Calibri" w:hAnsi="Calibri"/>
                <w:sz w:val="22"/>
              </w:rPr>
              <w:t>FY2027 cons. $2.12</w:t>
            </w:r>
          </w:p>
        </w:tc>
        <w:tc>
          <w:tcPr>
            <w:tcW w:type="dxa" w:w="1728"/>
          </w:tcPr>
          <w:p>
            <w:r>
              <w:rPr>
                <w:rFonts w:ascii="Calibri" w:hAnsi="Calibri"/>
                <w:sz w:val="22"/>
              </w:rPr>
              <w:t>Implies ~8.7% growth from $1.95 — consistent with top-end guidance. Stronger growth expected 2027–2029.</w:t>
            </w:r>
          </w:p>
        </w:tc>
      </w:tr>
      <w:tr>
        <w:tc>
          <w:tcPr>
            <w:tcW w:type="dxa" w:w="1728"/>
          </w:tcPr>
          <w:p>
            <w:r>
              <w:rPr>
                <w:rFonts w:ascii="Calibri" w:hAnsi="Calibri"/>
                <w:sz w:val="22"/>
              </w:rPr>
              <w:t>FY2026 Capital Investment (CapEx)</w:t>
            </w:r>
          </w:p>
        </w:tc>
        <w:tc>
          <w:tcPr>
            <w:tcW w:type="dxa" w:w="1728"/>
          </w:tcPr>
          <w:p>
            <w:r>
              <w:rPr>
                <w:rFonts w:ascii="Calibri" w:hAnsi="Calibri"/>
                <w:sz w:val="22"/>
              </w:rPr>
              <w:t>~$5.1 billion</w:t>
            </w:r>
          </w:p>
        </w:tc>
        <w:tc>
          <w:tcPr>
            <w:tcW w:type="dxa" w:w="1728"/>
          </w:tcPr>
          <w:p>
            <w:r>
              <w:rPr>
                <w:rFonts w:ascii="Calibri" w:hAnsi="Calibri"/>
                <w:sz w:val="22"/>
              </w:rPr>
              <w:t>— Unchanged</w:t>
            </w:r>
          </w:p>
        </w:tc>
        <w:tc>
          <w:tcPr>
            <w:tcW w:type="dxa" w:w="1728"/>
          </w:tcPr>
          <w:p>
            <w:r>
              <w:rPr>
                <w:rFonts w:ascii="Calibri" w:hAnsi="Calibri"/>
                <w:sz w:val="22"/>
              </w:rPr>
              <w:t>$4.93B</w:t>
            </w:r>
          </w:p>
        </w:tc>
        <w:tc>
          <w:tcPr>
            <w:tcW w:type="dxa" w:w="1728"/>
          </w:tcPr>
          <w:p>
            <w:r>
              <w:rPr>
                <w:rFonts w:ascii="Calibri" w:hAnsi="Calibri"/>
                <w:sz w:val="22"/>
              </w:rPr>
              <w:t>Consensus ~3.3% below guidance; management “on pace” per Q1 commentary. Potential upside if data center CapEx accelerates.</w:t>
            </w:r>
          </w:p>
        </w:tc>
      </w:tr>
      <w:tr>
        <w:tc>
          <w:tcPr>
            <w:tcW w:type="dxa" w:w="1728"/>
          </w:tcPr>
          <w:p>
            <w:r>
              <w:rPr>
                <w:rFonts w:ascii="Calibri" w:hAnsi="Calibri"/>
                <w:sz w:val="22"/>
              </w:rPr>
              <w:t>Total Capital Plan (2026–2029)</w:t>
            </w:r>
          </w:p>
        </w:tc>
        <w:tc>
          <w:tcPr>
            <w:tcW w:type="dxa" w:w="1728"/>
          </w:tcPr>
          <w:p>
            <w:r>
              <w:rPr>
                <w:rFonts w:ascii="Calibri" w:hAnsi="Calibri"/>
                <w:sz w:val="22"/>
              </w:rPr>
              <w:t>~$23 billion; 10.3% rate base CAGR</w:t>
            </w:r>
          </w:p>
        </w:tc>
        <w:tc>
          <w:tcPr>
            <w:tcW w:type="dxa" w:w="1728"/>
          </w:tcPr>
          <w:p>
            <w:r>
              <w:rPr>
                <w:rFonts w:ascii="Calibri" w:hAnsi="Calibri"/>
                <w:sz w:val="22"/>
              </w:rPr>
              <w:t>— Unchanged</w:t>
            </w:r>
          </w:p>
        </w:tc>
        <w:tc>
          <w:tcPr>
            <w:tcW w:type="dxa" w:w="1728"/>
          </w:tcPr>
          <w:p>
            <w:r>
              <w:rPr>
                <w:rFonts w:ascii="Calibri" w:hAnsi="Calibri"/>
                <w:sz w:val="22"/>
              </w:rPr>
              <w:t>FY2026 rate base cons. $31.2B</w:t>
            </w:r>
          </w:p>
        </w:tc>
        <w:tc>
          <w:tcPr>
            <w:tcW w:type="dxa" w:w="1728"/>
          </w:tcPr>
          <w:p>
            <w:r>
              <w:rPr>
                <w:rFonts w:ascii="Calibri" w:hAnsi="Calibri"/>
                <w:sz w:val="22"/>
              </w:rPr>
              <w:t>Excludes Blackstone JV. At least $0.5B incremental transmission CapEx identified for PA data center demand beyond current plan.</w:t>
            </w:r>
          </w:p>
        </w:tc>
      </w:tr>
      <w:tr>
        <w:tc>
          <w:tcPr>
            <w:tcW w:type="dxa" w:w="1728"/>
          </w:tcPr>
          <w:p>
            <w:r>
              <w:rPr>
                <w:rFonts w:ascii="Calibri" w:hAnsi="Calibri"/>
                <w:sz w:val="22"/>
              </w:rPr>
              <w:t>Annual Dividend Growth</w:t>
            </w:r>
          </w:p>
        </w:tc>
        <w:tc>
          <w:tcPr>
            <w:tcW w:type="dxa" w:w="1728"/>
          </w:tcPr>
          <w:p>
            <w:r>
              <w:rPr>
                <w:rFonts w:ascii="Calibri" w:hAnsi="Calibri"/>
                <w:sz w:val="22"/>
              </w:rPr>
              <w:t>4–6% annually</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Consistent with EPS growth trajectory; no change signaled.</w:t>
            </w:r>
          </w:p>
        </w:tc>
      </w:tr>
      <w:tr>
        <w:tc>
          <w:tcPr>
            <w:tcW w:type="dxa" w:w="1728"/>
          </w:tcPr>
          <w:p>
            <w:r>
              <w:rPr>
                <w:rFonts w:ascii="Calibri" w:hAnsi="Calibri"/>
                <w:sz w:val="22"/>
              </w:rPr>
              <w:t>PA Rate Case (PPL Electric Utilities)</w:t>
            </w:r>
          </w:p>
        </w:tc>
        <w:tc>
          <w:tcPr>
            <w:tcW w:type="dxa" w:w="1728"/>
          </w:tcPr>
          <w:p>
            <w:r>
              <w:rPr>
                <w:rFonts w:ascii="Calibri" w:hAnsi="Calibri"/>
                <w:sz w:val="22"/>
              </w:rPr>
              <w:t>Final PUC decision expected by end of Q2 2026; new rates effective July 1, 2026</w:t>
            </w:r>
          </w:p>
        </w:tc>
        <w:tc>
          <w:tcPr>
            <w:tcW w:type="dxa" w:w="1728"/>
          </w:tcPr>
          <w:p>
            <w:r>
              <w:rPr>
                <w:rFonts w:ascii="Calibri" w:hAnsi="Calibri"/>
                <w:sz w:val="22"/>
              </w:rPr>
              <w:t>Resolved: ALJ recommended approval without modification; PUC decision confirmed; rates effective July 1, 2026</w:t>
            </w:r>
          </w:p>
        </w:tc>
        <w:tc>
          <w:tcPr>
            <w:tcW w:type="dxa" w:w="1728"/>
          </w:tcPr>
          <w:p>
            <w:r>
              <w:rPr>
                <w:rFonts w:ascii="Calibri" w:hAnsi="Calibri"/>
                <w:sz w:val="22"/>
              </w:rPr>
              <w:t>N/A</w:t>
            </w:r>
          </w:p>
        </w:tc>
        <w:tc>
          <w:tcPr>
            <w:tcW w:type="dxa" w:w="1728"/>
          </w:tcPr>
          <w:p>
            <w:r>
              <w:rPr>
                <w:rFonts w:ascii="Calibri" w:hAnsi="Calibri"/>
                <w:sz w:val="22"/>
              </w:rPr>
              <w:t>↑ Constructive outcome; first PA rate case in 10+ years. Bill impact &lt;4% across all classes. Two-year stay-out agreed.</w:t>
            </w:r>
          </w:p>
        </w:tc>
      </w:tr>
      <w:tr>
        <w:tc>
          <w:tcPr>
            <w:tcW w:type="dxa" w:w="1728"/>
          </w:tcPr>
          <w:p>
            <w:r>
              <w:rPr>
                <w:rFonts w:ascii="Calibri" w:hAnsi="Calibri"/>
                <w:sz w:val="22"/>
              </w:rPr>
              <w:t>RI Rate Case (Rhode Island Energy)</w:t>
            </w:r>
          </w:p>
        </w:tc>
        <w:tc>
          <w:tcPr>
            <w:tcW w:type="dxa" w:w="1728"/>
          </w:tcPr>
          <w:p>
            <w:r>
              <w:rPr>
                <w:rFonts w:ascii="Calibri" w:hAnsi="Calibri"/>
                <w:sz w:val="22"/>
              </w:rPr>
              <w:t>Evidentiary hearings June–July; new rates effective September 1, 2026</w:t>
            </w:r>
          </w:p>
        </w:tc>
        <w:tc>
          <w:tcPr>
            <w:tcW w:type="dxa" w:w="1728"/>
          </w:tcPr>
          <w:p>
            <w:r>
              <w:rPr>
                <w:rFonts w:ascii="Calibri" w:hAnsi="Calibri"/>
                <w:sz w:val="22"/>
              </w:rPr>
              <w:t>— On track</w:t>
            </w:r>
          </w:p>
        </w:tc>
        <w:tc>
          <w:tcPr>
            <w:tcW w:type="dxa" w:w="1728"/>
          </w:tcPr>
          <w:p>
            <w:r>
              <w:rPr>
                <w:rFonts w:ascii="Calibri" w:hAnsi="Calibri"/>
                <w:sz w:val="22"/>
              </w:rPr>
              <w:t>N/A</w:t>
            </w:r>
          </w:p>
        </w:tc>
        <w:tc>
          <w:tcPr>
            <w:tcW w:type="dxa" w:w="1728"/>
          </w:tcPr>
          <w:p>
            <w:r>
              <w:rPr>
                <w:rFonts w:ascii="Calibri" w:hAnsi="Calibri"/>
                <w:sz w:val="22"/>
              </w:rPr>
              <w:t>Hearings completed; September 1 effective date on track. Hold-harmless bill credits begin Q1 2027.</w:t>
            </w:r>
          </w:p>
        </w:tc>
      </w:tr>
      <w:tr>
        <w:tc>
          <w:tcPr>
            <w:tcW w:type="dxa" w:w="1728"/>
          </w:tcPr>
          <w:p>
            <w:r>
              <w:rPr>
                <w:rFonts w:ascii="Calibri" w:hAnsi="Calibri"/>
                <w:sz w:val="22"/>
              </w:rPr>
              <w:t>KY Rate Case Reconsideration</w:t>
            </w:r>
          </w:p>
        </w:tc>
        <w:tc>
          <w:tcPr>
            <w:tcW w:type="dxa" w:w="1728"/>
          </w:tcPr>
          <w:p>
            <w:r>
              <w:rPr>
                <w:rFonts w:ascii="Calibri" w:hAnsi="Calibri"/>
                <w:sz w:val="22"/>
              </w:rPr>
              <w:t>Decision expected Q3 2026</w:t>
            </w:r>
          </w:p>
        </w:tc>
        <w:tc>
          <w:tcPr>
            <w:tcW w:type="dxa" w:w="1728"/>
          </w:tcPr>
          <w:p>
            <w:r>
              <w:rPr>
                <w:rFonts w:ascii="Calibri" w:hAnsi="Calibri"/>
                <w:sz w:val="22"/>
              </w:rPr>
              <w:t>— Pending</w:t>
            </w:r>
          </w:p>
        </w:tc>
        <w:tc>
          <w:tcPr>
            <w:tcW w:type="dxa" w:w="1728"/>
          </w:tcPr>
          <w:p>
            <w:r>
              <w:rPr>
                <w:rFonts w:ascii="Calibri" w:hAnsi="Calibri"/>
                <w:sz w:val="22"/>
              </w:rPr>
              <w:t>N/A</w:t>
            </w:r>
          </w:p>
        </w:tc>
        <w:tc>
          <w:tcPr>
            <w:tcW w:type="dxa" w:w="1728"/>
          </w:tcPr>
          <w:p>
            <w:r>
              <w:rPr>
                <w:rFonts w:ascii="Calibri" w:hAnsi="Calibri"/>
                <w:sz w:val="22"/>
              </w:rPr>
              <w:t>Limited substantive issues; additional discovery concluded May 22. Decision expected Q3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EPS estimates have drifted meaningfully lower since the Q1 print (from $0.40 to $0.33, −17.5%), consistent with seasonal patterns and not a fundamental deterioration signal; full-year 2026 estimates are essentially flat and sit at the guidance midpoint. </w:t>
      </w:r>
      <w:r>
        <w:rPr>
          <w:rFonts w:ascii="Calibri" w:hAnsi="Calibri"/>
          <w:b/>
          <w:color w:val="525866"/>
          <w:sz w:val="22"/>
        </w:rPr>
        <w:t>The gap between consensus CapEx ($4.93B) and guidance ($5.1B) represents a potential upside catalyst if management confirms on-pace spending</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15, 2026)</w:t>
            </w:r>
          </w:p>
        </w:tc>
        <w:tc>
          <w:tcPr>
            <w:tcW w:type="dxa" w:w="1080"/>
            <w:shd w:val="clear" w:color="auto" w:fill="3B4259"/>
          </w:tcPr>
          <w:p>
            <w:r>
              <w:rPr>
                <w:rFonts w:ascii="Calibri" w:hAnsi="Calibri"/>
                <w:b/>
                <w:color w:val="FFFFFF"/>
                <w:sz w:val="22"/>
              </w:rPr>
              <w:t>Current Consensus (Aug 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Ongoing EPS — Q2 2026</w:t>
            </w:r>
          </w:p>
        </w:tc>
        <w:tc>
          <w:tcPr>
            <w:tcW w:type="dxa" w:w="1080"/>
          </w:tcPr>
          <w:p>
            <w:r>
              <w:rPr>
                <w:rFonts w:ascii="Calibri" w:hAnsi="Calibri"/>
                <w:sz w:val="22"/>
              </w:rPr>
              <w:t>$0.401</w:t>
            </w:r>
          </w:p>
        </w:tc>
        <w:tc>
          <w:tcPr>
            <w:tcW w:type="dxa" w:w="1080"/>
          </w:tcPr>
          <w:p>
            <w:r>
              <w:rPr>
                <w:rFonts w:ascii="Calibri" w:hAnsi="Calibri"/>
                <w:sz w:val="22"/>
              </w:rPr>
              <w:t>$0.325</w:t>
            </w:r>
          </w:p>
        </w:tc>
        <w:tc>
          <w:tcPr>
            <w:tcW w:type="dxa" w:w="1080"/>
          </w:tcPr>
          <w:p>
            <w:r>
              <w:rPr>
                <w:rFonts w:ascii="Calibri" w:hAnsi="Calibri"/>
                <w:b/>
                <w:color w:val="E5484D"/>
                <w:sz w:val="22"/>
              </w:rPr>
              <w:t>-18.9%</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Ongoing EPS — FY2026</w:t>
            </w:r>
          </w:p>
        </w:tc>
        <w:tc>
          <w:tcPr>
            <w:tcW w:type="dxa" w:w="1080"/>
          </w:tcPr>
          <w:p>
            <w:r>
              <w:rPr>
                <w:rFonts w:ascii="Calibri" w:hAnsi="Calibri"/>
                <w:sz w:val="22"/>
              </w:rPr>
              <w:t>$1.951</w:t>
            </w:r>
          </w:p>
        </w:tc>
        <w:tc>
          <w:tcPr>
            <w:tcW w:type="dxa" w:w="1080"/>
          </w:tcPr>
          <w:p>
            <w:r>
              <w:rPr>
                <w:rFonts w:ascii="Calibri" w:hAnsi="Calibri"/>
                <w:sz w:val="22"/>
              </w:rPr>
              <w:t>$1.951</w:t>
            </w:r>
          </w:p>
        </w:tc>
        <w:tc>
          <w:tcPr>
            <w:tcW w:type="dxa" w:w="1080"/>
          </w:tcPr>
          <w:p>
            <w:r>
              <w:rPr>
                <w:rFonts w:ascii="Calibri" w:hAnsi="Calibri"/>
                <w:sz w:val="22"/>
              </w:rPr>
              <w:t>0.0%</w:t>
            </w:r>
          </w:p>
        </w:tc>
        <w:tc>
          <w:tcPr>
            <w:tcW w:type="dxa" w:w="1080"/>
          </w:tcPr>
          <w:p>
            <w:r>
              <w:rPr>
                <w:rFonts w:ascii="Calibri" w:hAnsi="Calibri"/>
                <w:sz w:val="22"/>
              </w:rPr>
              <w:t>$1.90–$1.98 ($1.94 mid)</w:t>
            </w:r>
          </w:p>
        </w:tc>
        <w:tc>
          <w:tcPr>
            <w:tcW w:type="dxa" w:w="1080"/>
          </w:tcPr>
          <w:p>
            <w:r>
              <w:rPr>
                <w:rFonts w:ascii="Calibri" w:hAnsi="Calibri"/>
                <w:sz w:val="22"/>
              </w:rPr>
              <w:t>$1.90–$1.98 ($1.94 mid)</w:t>
            </w:r>
          </w:p>
        </w:tc>
        <w:tc>
          <w:tcPr>
            <w:tcW w:type="dxa" w:w="1080"/>
          </w:tcPr>
          <w:p>
            <w:r>
              <w:rPr>
                <w:rFonts w:ascii="Calibri" w:hAnsi="Calibri"/>
                <w:sz w:val="22"/>
              </w:rPr>
              <w:t>Unchanged</w:t>
            </w:r>
          </w:p>
        </w:tc>
        <w:tc>
          <w:tcPr>
            <w:tcW w:type="dxa" w:w="1080"/>
          </w:tcPr>
          <w:p>
            <w:r>
              <w:rPr>
                <w:rFonts w:ascii="Calibri" w:hAnsi="Calibri"/>
                <w:sz w:val="22"/>
              </w:rPr>
              <w:t>+0.5% vs. midpoint</w:t>
            </w:r>
          </w:p>
        </w:tc>
      </w:tr>
      <w:tr>
        <w:tc>
          <w:tcPr>
            <w:tcW w:type="dxa" w:w="1080"/>
          </w:tcPr>
          <w:p>
            <w:r>
              <w:rPr>
                <w:rFonts w:ascii="Calibri" w:hAnsi="Calibri"/>
                <w:sz w:val="22"/>
              </w:rPr>
              <w:t>Ongoing EPS — FY2027</w:t>
            </w:r>
          </w:p>
        </w:tc>
        <w:tc>
          <w:tcPr>
            <w:tcW w:type="dxa" w:w="1080"/>
          </w:tcPr>
          <w:p>
            <w:r>
              <w:rPr>
                <w:rFonts w:ascii="Calibri" w:hAnsi="Calibri"/>
                <w:sz w:val="22"/>
              </w:rPr>
              <w:t>$2.122</w:t>
            </w:r>
          </w:p>
        </w:tc>
        <w:tc>
          <w:tcPr>
            <w:tcW w:type="dxa" w:w="1080"/>
          </w:tcPr>
          <w:p>
            <w:r>
              <w:rPr>
                <w:rFonts w:ascii="Calibri" w:hAnsi="Calibri"/>
                <w:sz w:val="22"/>
              </w:rPr>
              <w:t>$2.119</w:t>
            </w:r>
          </w:p>
        </w:tc>
        <w:tc>
          <w:tcPr>
            <w:tcW w:type="dxa" w:w="1080"/>
          </w:tcPr>
          <w:p>
            <w:r>
              <w:rPr>
                <w:rFonts w:ascii="Calibri" w:hAnsi="Calibri"/>
                <w:sz w:val="22"/>
              </w:rPr>
              <w:t>-0.1%</w:t>
            </w:r>
          </w:p>
        </w:tc>
        <w:tc>
          <w:tcPr>
            <w:tcW w:type="dxa" w:w="1080"/>
          </w:tcPr>
          <w:p>
            <w:r>
              <w:rPr>
                <w:rFonts w:ascii="Calibri" w:hAnsi="Calibri"/>
                <w:sz w:val="22"/>
              </w:rPr>
              <w:t>6–8% CAGR from 2025 base ($1.81)</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+17.1% vs. 2025 base; top-end of range</w:t>
            </w:r>
          </w:p>
        </w:tc>
      </w:tr>
      <w:tr>
        <w:tc>
          <w:tcPr>
            <w:tcW w:type="dxa" w:w="1080"/>
          </w:tcPr>
          <w:p>
            <w:r>
              <w:rPr>
                <w:rFonts w:ascii="Calibri" w:hAnsi="Calibri"/>
                <w:sz w:val="22"/>
              </w:rPr>
              <w:t>Operating Revenues — Q2 2026</w:t>
            </w:r>
          </w:p>
        </w:tc>
        <w:tc>
          <w:tcPr>
            <w:tcW w:type="dxa" w:w="1080"/>
          </w:tcPr>
          <w:p>
            <w:r>
              <w:rPr>
                <w:rFonts w:ascii="Calibri" w:hAnsi="Calibri"/>
                <w:sz w:val="22"/>
              </w:rPr>
              <w:t>$2,178M</w:t>
            </w:r>
          </w:p>
        </w:tc>
        <w:tc>
          <w:tcPr>
            <w:tcW w:type="dxa" w:w="1080"/>
          </w:tcPr>
          <w:p>
            <w:r>
              <w:rPr>
                <w:rFonts w:ascii="Calibri" w:hAnsi="Calibri"/>
                <w:sz w:val="22"/>
              </w:rPr>
              <w:t>$1,990M</w:t>
            </w:r>
          </w:p>
        </w:tc>
        <w:tc>
          <w:tcPr>
            <w:tcW w:type="dxa" w:w="1080"/>
          </w:tcPr>
          <w:p>
            <w:r>
              <w:rPr>
                <w:rFonts w:ascii="Calibri" w:hAnsi="Calibri"/>
                <w:b/>
                <w:color w:val="E5484D"/>
                <w:sz w:val="22"/>
              </w:rPr>
              <w:t>-8.6%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 FY2026</w:t>
            </w:r>
          </w:p>
        </w:tc>
        <w:tc>
          <w:tcPr>
            <w:tcW w:type="dxa" w:w="1080"/>
          </w:tcPr>
          <w:p>
            <w:r>
              <w:rPr>
                <w:rFonts w:ascii="Calibri" w:hAnsi="Calibri"/>
                <w:sz w:val="22"/>
              </w:rPr>
              <w:t>$9,717M</w:t>
            </w:r>
          </w:p>
        </w:tc>
        <w:tc>
          <w:tcPr>
            <w:tcW w:type="dxa" w:w="1080"/>
          </w:tcPr>
          <w:p>
            <w:r>
              <w:rPr>
                <w:rFonts w:ascii="Calibri" w:hAnsi="Calibri"/>
                <w:sz w:val="22"/>
              </w:rPr>
              <w:t>$9,331M</w:t>
            </w:r>
          </w:p>
        </w:tc>
        <w:tc>
          <w:tcPr>
            <w:tcW w:type="dxa" w:w="1080"/>
          </w:tcPr>
          <w:p>
            <w:r>
              <w:rPr>
                <w:rFonts w:ascii="Calibri" w:hAnsi="Calibri"/>
                <w:b/>
                <w:color w:val="E5484D"/>
                <w:sz w:val="22"/>
              </w:rPr>
              <w:t>-4.0%</w:t>
            </w:r>
          </w:p>
        </w:tc>
        <w:tc>
          <w:tcPr>
            <w:tcW w:type="dxa" w:w="1080"/>
          </w:tcPr>
          <w:p>
            <w:r>
              <w:rPr>
                <w:rFonts w:ascii="Calibri" w:hAnsi="Calibri"/>
                <w:sz w:val="22"/>
              </w:rPr>
              <w:t>No formal revenue guidance</w:t>
            </w:r>
          </w:p>
        </w:tc>
        <w:tc>
          <w:tcPr>
            <w:tcW w:type="dxa" w:w="1080"/>
          </w:tcPr>
          <w:p>
            <w:r>
              <w:rPr>
                <w:rFonts w:ascii="Calibri" w:hAnsi="Calibri"/>
                <w:sz w:val="22"/>
              </w:rPr>
              <w:t>No formal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(PP&amp;E) — FY2026</w:t>
            </w:r>
          </w:p>
        </w:tc>
        <w:tc>
          <w:tcPr>
            <w:tcW w:type="dxa" w:w="1080"/>
          </w:tcPr>
          <w:p>
            <w:r>
              <w:rPr>
                <w:rFonts w:ascii="Calibri" w:hAnsi="Calibri"/>
                <w:sz w:val="22"/>
              </w:rPr>
              <w:t>$5,073M</w:t>
            </w:r>
          </w:p>
        </w:tc>
        <w:tc>
          <w:tcPr>
            <w:tcW w:type="dxa" w:w="1080"/>
          </w:tcPr>
          <w:p>
            <w:r>
              <w:rPr>
                <w:rFonts w:ascii="Calibri" w:hAnsi="Calibri"/>
                <w:sz w:val="22"/>
              </w:rPr>
              <w:t>$4,931M</w:t>
            </w:r>
          </w:p>
        </w:tc>
        <w:tc>
          <w:tcPr>
            <w:tcW w:type="dxa" w:w="1080"/>
          </w:tcPr>
          <w:p>
            <w:r>
              <w:rPr>
                <w:rFonts w:ascii="Calibri" w:hAnsi="Calibri"/>
                <w:sz w:val="22"/>
              </w:rPr>
              <w:t>-2.8%</w:t>
            </w:r>
          </w:p>
        </w:tc>
        <w:tc>
          <w:tcPr>
            <w:tcW w:type="dxa" w:w="1080"/>
          </w:tcPr>
          <w:p>
            <w:r>
              <w:rPr>
                <w:rFonts w:ascii="Calibri" w:hAnsi="Calibri"/>
                <w:sz w:val="22"/>
              </w:rPr>
              <w:t>~$5.1B</w:t>
            </w:r>
          </w:p>
        </w:tc>
        <w:tc>
          <w:tcPr>
            <w:tcW w:type="dxa" w:w="1080"/>
          </w:tcPr>
          <w:p>
            <w:r>
              <w:rPr>
                <w:rFonts w:ascii="Calibri" w:hAnsi="Calibri"/>
                <w:sz w:val="22"/>
              </w:rPr>
              <w:t>~$5.1B (unchanged)</w:t>
            </w:r>
          </w:p>
        </w:tc>
        <w:tc>
          <w:tcPr>
            <w:tcW w:type="dxa" w:w="1080"/>
          </w:tcPr>
          <w:p>
            <w:r>
              <w:rPr>
                <w:rFonts w:ascii="Calibri" w:hAnsi="Calibri"/>
                <w:sz w:val="22"/>
              </w:rPr>
              <w:t>Unchanged</w:t>
            </w:r>
          </w:p>
        </w:tc>
        <w:tc>
          <w:tcPr>
            <w:tcW w:type="dxa" w:w="1080"/>
          </w:tcPr>
          <w:p>
            <w:r>
              <w:rPr>
                <w:rFonts w:ascii="Calibri" w:hAnsi="Calibri"/>
                <w:sz w:val="22"/>
              </w:rPr>
              <w:t>-3.3% below guidance</w:t>
            </w:r>
          </w:p>
        </w:tc>
      </w:tr>
    </w:tbl>
    <w:p>
      <w:r>
        <w:rPr>
          <w:rFonts w:ascii="Calibri" w:hAnsi="Calibri"/>
          <w:i/>
          <w:color w:val="525866"/>
          <w:sz w:val="22"/>
        </w:rPr>
        <w:t>The Q2 2026 EPS estimate decline of ~19% since the Q1 print is largely a seasonal re-rating: Q2 is structurally PPL’s weakest quarter (low cooling/heating demand), and the prior-year Q2 2025 miss ($0.32 vs. $0.37 consensus) likely caused the street to reset expectations lower. Full-year estimates are anchored at the guidance midpoint, suggesting no fundamental concern. The CapEx consensus running ~3% below the $5.1B guidance target is worth watching — if management confirms on-pace spending, it would be a positive signal for rate base growth trajectory.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PPL has underperformed both XLU and the S&amp;P 500 since the May 8 Q1 print, driven almost entirely by </w:t>
      </w:r>
      <w:r>
        <w:rPr>
          <w:rFonts w:ascii="Calibri" w:hAnsi="Calibri"/>
          <w:b/>
          <w:color w:val="525866"/>
          <w:sz w:val="22"/>
        </w:rPr>
        <w:t>multiple compression</w:t>
      </w:r>
      <w:r>
        <w:rPr>
          <w:rFonts w:ascii="Calibri" w:hAnsi="Calibri"/>
          <w:color w:val="525866"/>
          <w:sz w:val="22"/>
        </w:rPr>
        <w:t xml:space="preserve"> (NTM P/E contracted from ~18.6x to ~17.0x, EV/EBITDA from ~11.1x to ~10.4x) rather than estimate cuts — suggesting the underperformance is sentiment/rotation-driven, not fundamental, and may represent an attractive entry point ahead of a catalyst-rich H2 2026.</w:t>
      </w:r>
    </w:p>
    <w:p>
      <w:r>
        <w:rPr>
          <w:rFonts w:ascii="Calibri" w:hAnsi="Calibri"/>
          <w:color w:val="525866"/>
          <w:sz w:val="22"/>
        </w:rPr>
        <w:t>Since the Q1 2026 earnings date (May 8, 2026), PPL has declined approximately 3.6% (from $35.91 to $34.62 as of August 7, 2026), underperforming XLU (−2.9%) and significantly lagging the S&amp;P 500 (+4.2%). The underperformance is concentrated in multiple compression: NTM P/E contracted from ~18.6x (3 months ago) to ~17.0x currently, and EV/EBITDA from ~11.1x to ~10.4x. This is notable because full-year EPS estimates have been essentially flat over the same period, confirming the move is valuation-driven rather than earnings-driven. The stock found support in the $34.50–$35.00 range in late July/early August, coinciding with broader utility sector weakness as interest rates remained elevated. Key events since the last print include: the Pennsylvania PUC rate case resolution (effective July 1 — constructive), the addition of Kenneth Hartwick to the Board (June 30), and Rhode Island Energy’s $400M senior notes issuance (May 18). No analyst rating changes were recorded in the period. The stock trades at 17.0x NTM P/E vs. the sector average of ~18x, a modest discount that appears unwarranted given PPL’s above-average growth profile.</w:t>
      </w:r>
    </w:p>
    <w:p>
      <w:r>
        <w:rPr>
          <w:rFonts w:ascii="Calibri" w:hAnsi="Calibri"/>
          <w:b/>
          <w:i/>
          <w:color w:val="525866"/>
          <w:sz w:val="22"/>
        </w:rPr>
        <w:t>Chart: PPL vs. XLU vs. S&amp;P 500 — Indexed to 100 at May 8,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PPL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8,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22, 2026</w:t>
            </w:r>
          </w:p>
        </w:tc>
        <w:tc>
          <w:tcPr>
            <w:tcW w:type="dxa" w:w="2160"/>
          </w:tcPr>
          <w:p>
            <w:r>
              <w:rPr>
                <w:rFonts w:ascii="Calibri" w:hAnsi="Calibri"/>
                <w:sz w:val="22"/>
              </w:rPr>
              <w:t>101.1</w:t>
            </w:r>
          </w:p>
        </w:tc>
        <w:tc>
          <w:tcPr>
            <w:tcW w:type="dxa" w:w="2160"/>
          </w:tcPr>
          <w:p>
            <w:r>
              <w:rPr>
                <w:rFonts w:ascii="Calibri" w:hAnsi="Calibri"/>
                <w:sz w:val="22"/>
              </w:rPr>
              <w:t>101.4</w:t>
            </w:r>
          </w:p>
        </w:tc>
        <w:tc>
          <w:tcPr>
            <w:tcW w:type="dxa" w:w="2160"/>
          </w:tcPr>
          <w:p>
            <w:r>
              <w:rPr>
                <w:rFonts w:ascii="Calibri" w:hAnsi="Calibri"/>
                <w:sz w:val="22"/>
              </w:rPr>
              <w:t>101.1</w:t>
            </w:r>
          </w:p>
        </w:tc>
      </w:tr>
      <w:tr>
        <w:tc>
          <w:tcPr>
            <w:tcW w:type="dxa" w:w="2160"/>
          </w:tcPr>
          <w:p>
            <w:r>
              <w:rPr>
                <w:rFonts w:ascii="Calibri" w:hAnsi="Calibri"/>
                <w:sz w:val="22"/>
              </w:rPr>
              <w:t>Jun 5, 2026</w:t>
            </w:r>
          </w:p>
        </w:tc>
        <w:tc>
          <w:tcPr>
            <w:tcW w:type="dxa" w:w="2160"/>
          </w:tcPr>
          <w:p>
            <w:r>
              <w:rPr>
                <w:rFonts w:ascii="Calibri" w:hAnsi="Calibri"/>
                <w:sz w:val="22"/>
              </w:rPr>
              <w:t>99.5</w:t>
            </w:r>
          </w:p>
        </w:tc>
        <w:tc>
          <w:tcPr>
            <w:tcW w:type="dxa" w:w="2160"/>
          </w:tcPr>
          <w:p>
            <w:r>
              <w:rPr>
                <w:rFonts w:ascii="Calibri" w:hAnsi="Calibri"/>
                <w:sz w:val="22"/>
              </w:rPr>
              <w:t>99.2</w:t>
            </w:r>
          </w:p>
        </w:tc>
        <w:tc>
          <w:tcPr>
            <w:tcW w:type="dxa" w:w="2160"/>
          </w:tcPr>
          <w:p>
            <w:r>
              <w:rPr>
                <w:rFonts w:ascii="Calibri" w:hAnsi="Calibri"/>
                <w:sz w:val="22"/>
              </w:rPr>
              <w:t>100.0</w:t>
            </w:r>
          </w:p>
        </w:tc>
      </w:tr>
      <w:tr>
        <w:tc>
          <w:tcPr>
            <w:tcW w:type="dxa" w:w="2160"/>
          </w:tcPr>
          <w:p>
            <w:r>
              <w:rPr>
                <w:rFonts w:ascii="Calibri" w:hAnsi="Calibri"/>
                <w:sz w:val="22"/>
              </w:rPr>
              <w:t>Jun 16, 2026 (PA rate case effective July 1 announced)</w:t>
            </w:r>
          </w:p>
        </w:tc>
        <w:tc>
          <w:tcPr>
            <w:tcW w:type="dxa" w:w="2160"/>
          </w:tcPr>
          <w:p>
            <w:r>
              <w:rPr>
                <w:rFonts w:ascii="Calibri" w:hAnsi="Calibri"/>
                <w:sz w:val="22"/>
              </w:rPr>
              <w:t>101.3</w:t>
            </w:r>
          </w:p>
        </w:tc>
        <w:tc>
          <w:tcPr>
            <w:tcW w:type="dxa" w:w="2160"/>
          </w:tcPr>
          <w:p>
            <w:r>
              <w:rPr>
                <w:rFonts w:ascii="Calibri" w:hAnsi="Calibri"/>
                <w:sz w:val="22"/>
              </w:rPr>
              <w:t>100.8</w:t>
            </w:r>
          </w:p>
        </w:tc>
        <w:tc>
          <w:tcPr>
            <w:tcW w:type="dxa" w:w="2160"/>
          </w:tcPr>
          <w:p>
            <w:r>
              <w:rPr>
                <w:rFonts w:ascii="Calibri" w:hAnsi="Calibri"/>
                <w:sz w:val="22"/>
              </w:rPr>
              <w:t>101.7</w:t>
            </w:r>
          </w:p>
        </w:tc>
      </w:tr>
      <w:tr>
        <w:tc>
          <w:tcPr>
            <w:tcW w:type="dxa" w:w="2160"/>
          </w:tcPr>
          <w:p>
            <w:r>
              <w:rPr>
                <w:rFonts w:ascii="Calibri" w:hAnsi="Calibri"/>
                <w:sz w:val="22"/>
              </w:rPr>
              <w:t>Jun 26, 2026</w:t>
            </w:r>
          </w:p>
        </w:tc>
        <w:tc>
          <w:tcPr>
            <w:tcW w:type="dxa" w:w="2160"/>
          </w:tcPr>
          <w:p>
            <w:r>
              <w:rPr>
                <w:rFonts w:ascii="Calibri" w:hAnsi="Calibri"/>
                <w:sz w:val="22"/>
              </w:rPr>
              <w:t>103.1</w:t>
            </w:r>
          </w:p>
        </w:tc>
        <w:tc>
          <w:tcPr>
            <w:tcW w:type="dxa" w:w="2160"/>
          </w:tcPr>
          <w:p>
            <w:r>
              <w:rPr>
                <w:rFonts w:ascii="Calibri" w:hAnsi="Calibri"/>
                <w:sz w:val="22"/>
              </w:rPr>
              <w:t>103.3</w:t>
            </w:r>
          </w:p>
        </w:tc>
        <w:tc>
          <w:tcPr>
            <w:tcW w:type="dxa" w:w="2160"/>
          </w:tcPr>
          <w:p>
            <w:r>
              <w:rPr>
                <w:rFonts w:ascii="Calibri" w:hAnsi="Calibri"/>
                <w:sz w:val="22"/>
              </w:rPr>
              <w:t>98.8</w:t>
            </w:r>
          </w:p>
        </w:tc>
      </w:tr>
      <w:tr>
        <w:tc>
          <w:tcPr>
            <w:tcW w:type="dxa" w:w="2160"/>
          </w:tcPr>
          <w:p>
            <w:r>
              <w:rPr>
                <w:rFonts w:ascii="Calibri" w:hAnsi="Calibri"/>
                <w:sz w:val="22"/>
              </w:rPr>
              <w:t>Jun 30, 2026 (Hartwick Board appointment)</w:t>
            </w:r>
          </w:p>
        </w:tc>
        <w:tc>
          <w:tcPr>
            <w:tcW w:type="dxa" w:w="2160"/>
          </w:tcPr>
          <w:p>
            <w:r>
              <w:rPr>
                <w:rFonts w:ascii="Calibri" w:hAnsi="Calibri"/>
                <w:sz w:val="22"/>
              </w:rPr>
              <w:t>101.2</w:t>
            </w:r>
          </w:p>
        </w:tc>
        <w:tc>
          <w:tcPr>
            <w:tcW w:type="dxa" w:w="2160"/>
          </w:tcPr>
          <w:p>
            <w:r>
              <w:rPr>
                <w:rFonts w:ascii="Calibri" w:hAnsi="Calibri"/>
                <w:sz w:val="22"/>
              </w:rPr>
              <w:t>101.4</w:t>
            </w:r>
          </w:p>
        </w:tc>
        <w:tc>
          <w:tcPr>
            <w:tcW w:type="dxa" w:w="2160"/>
          </w:tcPr>
          <w:p>
            <w:r>
              <w:rPr>
                <w:rFonts w:ascii="Calibri" w:hAnsi="Calibri"/>
                <w:sz w:val="22"/>
              </w:rPr>
              <w:t>101.2</w:t>
            </w:r>
          </w:p>
        </w:tc>
      </w:tr>
      <w:tr>
        <w:tc>
          <w:tcPr>
            <w:tcW w:type="dxa" w:w="2160"/>
          </w:tcPr>
          <w:p>
            <w:r>
              <w:rPr>
                <w:rFonts w:ascii="Calibri" w:hAnsi="Calibri"/>
                <w:sz w:val="22"/>
              </w:rPr>
              <w:t>Jul 17, 2026 (Q2 earnings webcast announced)</w:t>
            </w:r>
          </w:p>
        </w:tc>
        <w:tc>
          <w:tcPr>
            <w:tcW w:type="dxa" w:w="2160"/>
          </w:tcPr>
          <w:p>
            <w:r>
              <w:rPr>
                <w:rFonts w:ascii="Calibri" w:hAnsi="Calibri"/>
                <w:sz w:val="22"/>
              </w:rPr>
              <w:t>99.8</w:t>
            </w:r>
          </w:p>
        </w:tc>
        <w:tc>
          <w:tcPr>
            <w:tcW w:type="dxa" w:w="2160"/>
          </w:tcPr>
          <w:p>
            <w:r>
              <w:rPr>
                <w:rFonts w:ascii="Calibri" w:hAnsi="Calibri"/>
                <w:sz w:val="22"/>
              </w:rPr>
              <w:t>101.0</w:t>
            </w:r>
          </w:p>
        </w:tc>
        <w:tc>
          <w:tcPr>
            <w:tcW w:type="dxa" w:w="2160"/>
          </w:tcPr>
          <w:p>
            <w:r>
              <w:rPr>
                <w:rFonts w:ascii="Calibri" w:hAnsi="Calibri"/>
                <w:sz w:val="22"/>
              </w:rPr>
              <w:t>100.8</w:t>
            </w:r>
          </w:p>
        </w:tc>
      </w:tr>
      <w:tr>
        <w:tc>
          <w:tcPr>
            <w:tcW w:type="dxa" w:w="2160"/>
          </w:tcPr>
          <w:p>
            <w:r>
              <w:rPr>
                <w:rFonts w:ascii="Calibri" w:hAnsi="Calibri"/>
                <w:sz w:val="22"/>
              </w:rPr>
              <w:t>Aug 5, 2026</w:t>
            </w:r>
          </w:p>
        </w:tc>
        <w:tc>
          <w:tcPr>
            <w:tcW w:type="dxa" w:w="2160"/>
          </w:tcPr>
          <w:p>
            <w:r>
              <w:rPr>
                <w:rFonts w:ascii="Calibri" w:hAnsi="Calibri"/>
                <w:sz w:val="22"/>
              </w:rPr>
              <w:t>97.3</w:t>
            </w:r>
          </w:p>
        </w:tc>
        <w:tc>
          <w:tcPr>
            <w:tcW w:type="dxa" w:w="2160"/>
          </w:tcPr>
          <w:p>
            <w:r>
              <w:rPr>
                <w:rFonts w:ascii="Calibri" w:hAnsi="Calibri"/>
                <w:sz w:val="22"/>
              </w:rPr>
              <w:t>97.6</w:t>
            </w:r>
          </w:p>
        </w:tc>
        <w:tc>
          <w:tcPr>
            <w:tcW w:type="dxa" w:w="2160"/>
          </w:tcPr>
          <w:p>
            <w:r>
              <w:rPr>
                <w:rFonts w:ascii="Calibri" w:hAnsi="Calibri"/>
                <w:sz w:val="22"/>
              </w:rPr>
              <w:t>104.4</w:t>
            </w:r>
          </w:p>
        </w:tc>
      </w:tr>
      <w:tr>
        <w:tc>
          <w:tcPr>
            <w:tcW w:type="dxa" w:w="2160"/>
          </w:tcPr>
          <w:p>
            <w:r>
              <w:rPr>
                <w:rFonts w:ascii="Calibri" w:hAnsi="Calibri"/>
                <w:sz w:val="22"/>
              </w:rPr>
              <w:t>Aug 7, 2026 (Pre-earnings)</w:t>
            </w:r>
          </w:p>
        </w:tc>
        <w:tc>
          <w:tcPr>
            <w:tcW w:type="dxa" w:w="2160"/>
          </w:tcPr>
          <w:p>
            <w:r>
              <w:rPr>
                <w:rFonts w:ascii="Calibri" w:hAnsi="Calibri"/>
                <w:sz w:val="22"/>
              </w:rPr>
              <w:t>96.4</w:t>
            </w:r>
          </w:p>
        </w:tc>
        <w:tc>
          <w:tcPr>
            <w:tcW w:type="dxa" w:w="2160"/>
          </w:tcPr>
          <w:p>
            <w:r>
              <w:rPr>
                <w:rFonts w:ascii="Calibri" w:hAnsi="Calibri"/>
                <w:sz w:val="22"/>
              </w:rPr>
              <w:t>97.0</w:t>
            </w:r>
          </w:p>
        </w:tc>
        <w:tc>
          <w:tcPr>
            <w:tcW w:type="dxa" w:w="2160"/>
          </w:tcPr>
          <w:p>
            <w:r>
              <w:rPr>
                <w:rFonts w:ascii="Calibri" w:hAnsi="Calibri"/>
                <w:sz w:val="22"/>
              </w:rPr>
              <w:t>104.2</w:t>
            </w:r>
          </w:p>
        </w:tc>
      </w:tr>
    </w:tbl>
    <w:p>
      <w:r>
        <w:rPr>
          <w:rFonts w:ascii="Calibri" w:hAnsi="Calibri"/>
          <w:b/>
          <w:color w:val="525866"/>
          <w:sz w:val="22"/>
        </w:rPr>
        <w:t xml:space="preserve">Note: </w:t>
      </w:r>
      <w:r>
        <w:rPr>
          <w:rFonts w:ascii="Calibri" w:hAnsi="Calibri"/>
          <w:color w:val="525866"/>
          <w:sz w:val="22"/>
        </w:rPr>
        <w:t>Indexed to 100 at May 8, 2026 close (PPL: $35.91, XLU: $44.72, SPY: $737.62). Sector ETF used: XLU (Utilities Select Sector SPDR Fund) — appropriate for PPL’s regulated electric and gas utility sub-sector. Source: Stock Price Data (Yahoo Finance).</w:t>
      </w:r>
    </w:p>
    <w:p>
      <w:r>
        <w:rPr>
          <w:rFonts w:ascii="Calibri" w:hAnsi="Calibri"/>
          <w:b/>
          <w:color w:val="525866"/>
          <w:sz w:val="22"/>
        </w:rPr>
        <w:t xml:space="preserve">Valuation Context (NTM multiples as of August 6, 2026): </w:t>
      </w:r>
      <w:r>
        <w:rPr>
          <w:rFonts w:ascii="Calibri" w:hAnsi="Calibri"/>
          <w:color w:val="525866"/>
          <w:sz w:val="22"/>
        </w:rPr>
        <w:t>P/E: 17.0x | EV/EBITDA: 10.4x | P/Book: 1.58x | EV/Sales: 4.69x. All multiples have compressed over the past 1–3 months, with P/E down ~8.4% over 3 months and ~10.6% over 12 months. The primary valuation metric for regulated utilities is NTM P/E; at 17.0x, PPL trades at a ~6% discount to the sector average (~18x), which appears unwarranted given its above-average rate base growth (10.3% CAGR) and data center optionality.</w:t>
      </w:r>
    </w:p>
    <w:p>
      <w:r>
        <w:br w:type="page"/>
      </w:r>
    </w:p>
    <w:p>
      <w:pPr>
        <w:pStyle w:val="Heading2"/>
      </w:pPr>
      <w:r>
        <w:rPr>
          <w:rFonts w:ascii="Calibri" w:hAnsi="Calibri"/>
          <w:b/>
          <w:color w:val="3B4259"/>
          <w:sz w:val="28"/>
        </w:rPr>
        <w:t>6. Material News &amp; Developments Since Q1 2026 Earnings (May 8, 2026)</w:t>
      </w:r>
    </w:p>
    <w:p>
      <w:r>
        <w:rPr>
          <w:rFonts w:ascii="Calibri" w:hAnsi="Calibri"/>
          <w:b/>
          <w:color w:val="525866"/>
          <w:sz w:val="22"/>
        </w:rPr>
        <w:t xml:space="preserve">Key Takeaway: </w:t>
      </w:r>
      <w:r>
        <w:rPr>
          <w:rFonts w:ascii="Calibri" w:hAnsi="Calibri"/>
          <w:color w:val="525866"/>
          <w:sz w:val="22"/>
        </w:rPr>
        <w:t xml:space="preserve">The most important development is the </w:t>
      </w:r>
      <w:r>
        <w:rPr>
          <w:rFonts w:ascii="Calibri" w:hAnsi="Calibri"/>
          <w:b/>
          <w:color w:val="525866"/>
          <w:sz w:val="22"/>
        </w:rPr>
        <w:t>Pennsylvania PUC rate case resolution</w:t>
      </w:r>
      <w:r>
        <w:rPr>
          <w:rFonts w:ascii="Calibri" w:hAnsi="Calibri"/>
          <w:color w:val="525866"/>
          <w:sz w:val="22"/>
        </w:rPr>
        <w:t xml:space="preserve"> — new rates effective July 1, 2026 provide a clean earnings tailwind into H2 2026 and remove the single largest regulatory overhang. The Blackstone JV continues to advance toward a commercial announcement that is not in the current plan.</w:t>
      </w:r>
    </w:p>
    <w:p>
      <w:pPr>
        <w:pStyle w:val="ListBullet"/>
        <w:ind w:left="360" w:hanging="360"/>
      </w:pPr>
      <w:r>
        <w:rPr>
          <w:rFonts w:ascii="Calibri" w:hAnsi="Calibri"/>
          <w:b/>
          <w:color w:val="525866"/>
          <w:sz w:val="22"/>
        </w:rPr>
        <w:t>July 17, 2026 — PPL announces Q2 2026 earnings webcast.</w:t>
      </w:r>
      <w:r>
        <w:rPr>
          <w:rFonts w:ascii="Calibri" w:hAnsi="Calibri"/>
          <w:color w:val="525866"/>
          <w:sz w:val="22"/>
        </w:rPr>
        <w:t xml:space="preserve"> PPL Corporation announced it will conduct a webcast on its Q2 2026 earnings results, confirming the reporting date. </w:t>
      </w:r>
      <w:r>
        <w:rPr>
          <w:rFonts w:ascii="Calibri" w:hAnsi="Calibri"/>
          <w:b/>
          <w:color w:val="525866"/>
          <w:sz w:val="22"/>
        </w:rPr>
        <w:t>Implication:</w:t>
      </w:r>
      <w:r>
        <w:rPr>
          <w:rFonts w:ascii="Calibri" w:hAnsi="Calibri"/>
          <w:color w:val="525866"/>
          <w:sz w:val="22"/>
        </w:rPr>
        <w:t xml:space="preserve"> Confirms August 7, 2026 as the earnings date; no pre-announcement or guidance revision accompanying the notice.</w:t>
      </w:r>
    </w:p>
    <w:p>
      <w:pPr>
        <w:pStyle w:val="ListBullet"/>
        <w:ind w:left="360" w:hanging="360"/>
      </w:pPr>
      <w:r>
        <w:rPr>
          <w:rFonts w:ascii="Calibri" w:hAnsi="Calibri"/>
          <w:b/>
          <w:color w:val="525866"/>
          <w:sz w:val="22"/>
        </w:rPr>
        <w:t>June 30, 2026 — Kenneth M. Hartwick elected to PPL Board of Directors (effective July 1, 2026).</w:t>
      </w:r>
      <w:r>
        <w:rPr>
          <w:rFonts w:ascii="Calibri" w:hAnsi="Calibri"/>
          <w:color w:val="525866"/>
          <w:sz w:val="22"/>
        </w:rPr>
        <w:t xml:space="preserve"> Former President &amp; CEO of Ontario Power Generation (2019–2025); also Chairman of MYR Group Inc. and director at Denison Mines Corp. and Investment Management Corporation of Ontario. </w:t>
      </w:r>
      <w:r>
        <w:rPr>
          <w:rFonts w:ascii="Calibri" w:hAnsi="Calibri"/>
          <w:b/>
          <w:color w:val="525866"/>
          <w:sz w:val="22"/>
        </w:rPr>
        <w:t>Implication:</w:t>
      </w:r>
      <w:r>
        <w:rPr>
          <w:rFonts w:ascii="Calibri" w:hAnsi="Calibri"/>
          <w:color w:val="525866"/>
          <w:sz w:val="22"/>
        </w:rPr>
        <w:t xml:space="preserve"> Adds deep power generation and large-scale infrastructure expertise to the Board — directly relevant to the Blackstone JV’s generation development ambitions. Signals PPL is building governance capacity for a more complex generation business.</w:t>
      </w:r>
    </w:p>
    <w:p>
      <w:pPr>
        <w:pStyle w:val="ListBullet"/>
        <w:ind w:left="360" w:hanging="360"/>
      </w:pPr>
      <w:r>
        <w:rPr>
          <w:rFonts w:ascii="Calibri" w:hAnsi="Calibri"/>
          <w:b/>
          <w:color w:val="525866"/>
          <w:sz w:val="22"/>
        </w:rPr>
        <w:t>May 18, 2026 — Rhode Island Energy sells $400 million senior notes due 2056.</w:t>
      </w:r>
      <w:r>
        <w:rPr>
          <w:rFonts w:ascii="Calibri" w:hAnsi="Calibri"/>
          <w:color w:val="525866"/>
          <w:sz w:val="22"/>
        </w:rPr>
        <w:t xml:space="preserve"> Rhode Island Energy, PPL’s subsidiary, completed a $400M long-term debt issuance. </w:t>
      </w:r>
      <w:r>
        <w:rPr>
          <w:rFonts w:ascii="Calibri" w:hAnsi="Calibri"/>
          <w:b/>
          <w:color w:val="525866"/>
          <w:sz w:val="22"/>
        </w:rPr>
        <w:t>Implication:</w:t>
      </w:r>
      <w:r>
        <w:rPr>
          <w:rFonts w:ascii="Calibri" w:hAnsi="Calibri"/>
          <w:color w:val="525866"/>
          <w:sz w:val="22"/>
        </w:rPr>
        <w:t xml:space="preserve"> Supports the $330M+ annual infrastructure investment plan in Rhode Island and pre-funds capital needs ahead of the September 1 rate case effective date. Consistent with the broader $23B capital plan financing strategy.</w:t>
      </w:r>
    </w:p>
    <w:p>
      <w:pPr>
        <w:pStyle w:val="ListBullet"/>
        <w:ind w:left="360" w:hanging="360"/>
      </w:pPr>
      <w:r>
        <w:rPr>
          <w:rFonts w:ascii="Calibri" w:hAnsi="Calibri"/>
          <w:b/>
          <w:color w:val="525866"/>
          <w:sz w:val="22"/>
        </w:rPr>
        <w:t>May 15, 2026 — PPL Electric Utilities sells $500 million first mortgage bonds due 2056.</w:t>
      </w:r>
      <w:r>
        <w:rPr>
          <w:rFonts w:ascii="Calibri" w:hAnsi="Calibri"/>
          <w:color w:val="525866"/>
          <w:sz w:val="22"/>
        </w:rPr>
        <w:t xml:space="preserve"> PPL’s Pennsylvania subsidiary completed a $500M long-term debt issuance. </w:t>
      </w:r>
      <w:r>
        <w:rPr>
          <w:rFonts w:ascii="Calibri" w:hAnsi="Calibri"/>
          <w:b/>
          <w:color w:val="525866"/>
          <w:sz w:val="22"/>
        </w:rPr>
        <w:t>Implication:</w:t>
      </w:r>
      <w:r>
        <w:rPr>
          <w:rFonts w:ascii="Calibri" w:hAnsi="Calibri"/>
          <w:color w:val="525866"/>
          <w:sz w:val="22"/>
        </w:rPr>
        <w:t xml:space="preserve"> Locks in long-term financing at current rates to fund the Pennsylvania capital plan, including transmission investments supporting the 28.3 GW data center pipeline. Reduces near-term refinancing risk.</w:t>
      </w:r>
    </w:p>
    <w:p>
      <w:pPr>
        <w:pStyle w:val="ListBullet"/>
        <w:ind w:left="360" w:hanging="360"/>
      </w:pPr>
      <w:r>
        <w:rPr>
          <w:rFonts w:ascii="Calibri" w:hAnsi="Calibri"/>
          <w:b/>
          <w:color w:val="525866"/>
          <w:sz w:val="22"/>
        </w:rPr>
        <w:t>May 13, 2026 — PPL shareholders approve amended stock incentive plan.</w:t>
      </w:r>
      <w:r>
        <w:rPr>
          <w:rFonts w:ascii="Calibri" w:hAnsi="Calibri"/>
          <w:color w:val="525866"/>
          <w:sz w:val="22"/>
        </w:rPr>
        <w:t xml:space="preserve"> Shareholders approved the amended plan at the annual meeting. </w:t>
      </w:r>
      <w:r>
        <w:rPr>
          <w:rFonts w:ascii="Calibri" w:hAnsi="Calibri"/>
          <w:b/>
          <w:color w:val="525866"/>
          <w:sz w:val="22"/>
        </w:rPr>
        <w:t>Implication:</w:t>
      </w:r>
      <w:r>
        <w:rPr>
          <w:rFonts w:ascii="Calibri" w:hAnsi="Calibri"/>
          <w:color w:val="525866"/>
          <w:sz w:val="22"/>
        </w:rPr>
        <w:t xml:space="preserve"> Routine governance action; no material financial impact.</w:t>
      </w:r>
    </w:p>
    <w:p>
      <w:pPr>
        <w:pStyle w:val="ListBullet"/>
        <w:ind w:left="360" w:hanging="360"/>
      </w:pPr>
      <w:r>
        <w:rPr>
          <w:rFonts w:ascii="Calibri" w:hAnsi="Calibri"/>
          <w:b/>
          <w:color w:val="525866"/>
          <w:sz w:val="22"/>
        </w:rPr>
        <w:t>Post-Q1 (ongoing) — Pennsylvania PUC rate case final order confirmed; new rates effective July 1, 2026.</w:t>
      </w:r>
      <w:r>
        <w:rPr>
          <w:rFonts w:ascii="Calibri" w:hAnsi="Calibri"/>
          <w:color w:val="525866"/>
          <w:sz w:val="22"/>
        </w:rPr>
        <w:t xml:space="preserve"> The Pennsylvania PUC issued its final order approving the settlement without modification, consistent with the ALJ recommendation. Bill increases &lt;4% across all customer classes; two-year stay-out agreed. </w:t>
      </w:r>
      <w:r>
        <w:rPr>
          <w:rFonts w:ascii="Calibri" w:hAnsi="Calibri"/>
          <w:b/>
          <w:color w:val="525866"/>
          <w:sz w:val="22"/>
        </w:rPr>
        <w:t>Implication:</w:t>
      </w:r>
      <w:r>
        <w:rPr>
          <w:rFonts w:ascii="Calibri" w:hAnsi="Calibri"/>
          <w:color w:val="525866"/>
          <w:sz w:val="22"/>
        </w:rPr>
        <w:t xml:space="preserve"> Removes the largest regulatory overhang for PPL. New rates will begin contributing to Pennsylvania Regulated segment earnings in Q3 2026, supporting the back-half earnings ramp needed to achieve the $1.94 midpoint.</w:t>
      </w:r>
    </w:p>
    <w:p>
      <w:pPr>
        <w:pStyle w:val="ListBullet"/>
        <w:ind w:left="360" w:hanging="360"/>
      </w:pPr>
      <w:r>
        <w:rPr>
          <w:rFonts w:ascii="Calibri" w:hAnsi="Calibri"/>
          <w:b/>
          <w:color w:val="525866"/>
          <w:sz w:val="22"/>
        </w:rPr>
        <w:t>Post-Q1 (ongoing) — Blackstone JV continues active execution.</w:t>
      </w:r>
      <w:r>
        <w:rPr>
          <w:rFonts w:ascii="Calibri" w:hAnsi="Calibri"/>
          <w:color w:val="525866"/>
          <w:sz w:val="22"/>
        </w:rPr>
        <w:t xml:space="preserve"> Multiple gas turbine reservation agreements executed; multiple PJM interconnection queue submissions made for land sites under control; strategic discussions with Marcellus gas pipeline companies ongoing. CEO Sorgi stated at Q1: “I’d be surprised if we weren’t announcing something meaningful this year.” </w:t>
      </w:r>
      <w:r>
        <w:rPr>
          <w:rFonts w:ascii="Calibri" w:hAnsi="Calibri"/>
          <w:b/>
          <w:color w:val="525866"/>
          <w:sz w:val="22"/>
        </w:rPr>
        <w:t>Implication:</w:t>
      </w:r>
      <w:r>
        <w:rPr>
          <w:rFonts w:ascii="Calibri" w:hAnsi="Calibri"/>
          <w:color w:val="525866"/>
          <w:sz w:val="22"/>
        </w:rPr>
        <w:t xml:space="preserve"> Any signed ESSA with a hyperscaler would be a material positive catalyst not in the current plan or consensus estimates. Probability of announcement has increased materially given execution milestones.</w:t>
      </w:r>
    </w:p>
    <w:p>
      <w:pPr>
        <w:pStyle w:val="ListBullet"/>
        <w:ind w:left="360" w:hanging="360"/>
      </w:pPr>
      <w:r>
        <w:rPr>
          <w:rFonts w:ascii="Calibri" w:hAnsi="Calibri"/>
          <w:b/>
          <w:color w:val="525866"/>
          <w:sz w:val="22"/>
        </w:rPr>
        <w:t>Post-Q1 (ongoing) — Kentucky data center pipeline grows to 12.9 GW; new CPCN filing possible in 2026.</w:t>
      </w:r>
      <w:r>
        <w:rPr>
          <w:rFonts w:ascii="Calibri" w:hAnsi="Calibri"/>
          <w:color w:val="525866"/>
          <w:sz w:val="22"/>
        </w:rPr>
        <w:t xml:space="preserve"> Kentucky pipeline grew nearly 4 GW from year-end; PPL now projects 3.5 GW of expected new load by 2032 vs. 1.8 GW in prior CPCN. </w:t>
      </w:r>
      <w:r>
        <w:rPr>
          <w:rFonts w:ascii="Calibri" w:hAnsi="Calibri"/>
          <w:b/>
          <w:color w:val="525866"/>
          <w:sz w:val="22"/>
        </w:rPr>
        <w:t>Implication:</w:t>
      </w:r>
      <w:r>
        <w:rPr>
          <w:rFonts w:ascii="Calibri" w:hAnsi="Calibri"/>
          <w:color w:val="525866"/>
          <w:sz w:val="22"/>
        </w:rPr>
        <w:t xml:space="preserve"> A new CPCN filing in 2026 would trigger incremental generation capital not in the current plan, representing upside to the $23B capital program.</w:t>
      </w:r>
    </w:p>
    <w:p>
      <w:pPr>
        <w:pStyle w:val="ListBullet"/>
        <w:ind w:left="360" w:hanging="360"/>
      </w:pPr>
      <w:r>
        <w:rPr>
          <w:rFonts w:ascii="Calibri" w:hAnsi="Calibri"/>
          <w:b/>
          <w:color w:val="525866"/>
          <w:sz w:val="22"/>
        </w:rPr>
        <w:t>No analyst rating changes recorded</w:t>
      </w:r>
      <w:r>
        <w:rPr>
          <w:rFonts w:ascii="Calibri" w:hAnsi="Calibri"/>
          <w:color w:val="525866"/>
          <w:sz w:val="22"/>
        </w:rPr>
        <w:t xml:space="preserve"> in the period since May 8, 2026. Source: Upgrade/Downgrade Data (Financial Modeling Prep).</w:t>
      </w:r>
    </w:p>
    <w:p>
      <w:r>
        <w:br w:type="page"/>
      </w:r>
    </w:p>
    <w:p>
      <w:pPr>
        <w:pStyle w:val="Heading2"/>
      </w:pPr>
      <w:r>
        <w:rPr>
          <w:rFonts w:ascii="Calibri" w:hAnsi="Calibri"/>
          <w:b/>
          <w:color w:val="3B4259"/>
          <w:sz w:val="28"/>
        </w:rPr>
        <w:t>7. Peer Commentaries / Read-Through (Q2 2026 Earnings Season)</w:t>
      </w:r>
    </w:p>
    <w:p>
      <w:r>
        <w:rPr>
          <w:rFonts w:ascii="Calibri" w:hAnsi="Calibri"/>
          <w:b/>
          <w:color w:val="525866"/>
          <w:sz w:val="22"/>
        </w:rPr>
        <w:t xml:space="preserve">Scope: </w:t>
      </w:r>
      <w:r>
        <w:rPr>
          <w:rFonts w:ascii="Calibri" w:hAnsi="Calibri"/>
          <w:color w:val="525866"/>
          <w:sz w:val="22"/>
        </w:rPr>
        <w:t>All commentary below is drawn exclusively from Q2 2026 earnings calls and releases reported by PPL’s regulated utility peers between July 22 and August 6, 2026 — i.e., disclosures about Q2 2026 results, Q3/FY2026 outlook, and post-Q1 developments. Prior-quarter commentary (Q1 2025 results discussed on Q1 2026 calls) is explicitly excluded. Sources: Q2 2026 earnings transcripts and releases for AEP, CMS, D, DTE, DUK, ETR, EXC, FE, PEG, XEL (all reported July 28 – August 4, 2026).</w:t>
      </w:r>
    </w:p>
    <w:p>
      <w:pPr>
        <w:pStyle w:val="Heading3"/>
      </w:pPr>
      <w:r>
        <w:rPr>
          <w:rFonts w:ascii="Calibri" w:hAnsi="Calibri"/>
          <w:b/>
          <w:color w:val="3B4259"/>
          <w:sz w:val="24"/>
        </w:rPr>
        <w:t>7.1 FY2026 Guidance: Sector-Wide Reaffirmation (Bullish Read-Through for PPL)</w:t>
      </w:r>
    </w:p>
    <w:p>
      <w:r>
        <w:rPr>
          <w:rFonts w:ascii="Calibri" w:hAnsi="Calibri"/>
          <w:b/>
          <w:color w:val="525866"/>
          <w:sz w:val="22"/>
        </w:rPr>
        <w:t xml:space="preserve">Read-Through: </w:t>
      </w:r>
      <w:r>
        <w:rPr>
          <w:rFonts w:ascii="Calibri" w:hAnsi="Calibri"/>
          <w:b/>
          <w:color w:val="30A46C"/>
          <w:sz w:val="22"/>
        </w:rPr>
        <w:t xml:space="preserve">Positive. </w:t>
      </w:r>
      <w:r>
        <w:rPr>
          <w:rFonts w:ascii="Calibri" w:hAnsi="Calibri"/>
          <w:color w:val="525866"/>
          <w:sz w:val="22"/>
        </w:rPr>
        <w:t xml:space="preserve"> Every peer reaffirmed or raised FY2026 guidance, with several expressing confidence toward the high end of their ranges. This is a strong sector-level signal that the regulatory and demand environment is supportive — directly relevant to PPL’s own $1.90–$1.98 guidance reaffirmation.</w:t>
      </w:r>
    </w:p>
    <w:p>
      <w:pPr>
        <w:pStyle w:val="ListBullet"/>
        <w:ind w:left="360" w:hanging="360"/>
      </w:pPr>
      <w:r>
        <w:rPr>
          <w:rFonts w:ascii="Calibri" w:hAnsi="Calibri"/>
          <w:b/>
          <w:color w:val="525866"/>
          <w:sz w:val="22"/>
        </w:rPr>
        <w:t>AEP (reported July 30):</w:t>
      </w:r>
      <w:r>
        <w:rPr>
          <w:rFonts w:ascii="Calibri" w:hAnsi="Calibri"/>
          <w:color w:val="525866"/>
          <w:sz w:val="22"/>
        </w:rPr>
        <w:t xml:space="preserve"> Raised FY2026 operating EPS guidance to $6.25–$6.55 from $6.15–$6.45, citing “strong performance through the first half of the year.” Also reaffirmed 7–9% annual EPS growth through 2030 (CAGR &gt;9% from 2025 base). </w:t>
      </w:r>
      <w:r>
        <w:rPr>
          <w:rFonts w:ascii="Calibri" w:hAnsi="Calibri"/>
          <w:b/>
          <w:color w:val="525866"/>
          <w:sz w:val="22"/>
        </w:rPr>
        <w:t>PPL read-through:</w:t>
      </w:r>
      <w:r>
        <w:rPr>
          <w:rFonts w:ascii="Calibri" w:hAnsi="Calibri"/>
          <w:color w:val="525866"/>
          <w:sz w:val="22"/>
        </w:rPr>
        <w:t xml:space="preserve"> AEP’s raise is the most direct positive signal — if the largest regulated utility in the sector can raise guidance mid-year, it validates that the macro/regulatory backdrop supports PPL’s reaffirmation and potentially its own upward revision.</w:t>
      </w:r>
    </w:p>
    <w:p>
      <w:pPr>
        <w:pStyle w:val="ListBullet"/>
        <w:ind w:left="360" w:hanging="360"/>
      </w:pPr>
      <w:r>
        <w:rPr>
          <w:rFonts w:ascii="Calibri" w:hAnsi="Calibri"/>
          <w:b/>
          <w:color w:val="525866"/>
          <w:sz w:val="22"/>
        </w:rPr>
        <w:t>CMS Energy (reported July 28):</w:t>
      </w:r>
      <w:r>
        <w:rPr>
          <w:rFonts w:ascii="Calibri" w:hAnsi="Calibri"/>
          <w:color w:val="525866"/>
          <w:sz w:val="22"/>
        </w:rPr>
        <w:t xml:space="preserve"> Reaffirmed FY2026 guidance of $3.83–$3.90 with “continued confidence toward the high end.” Introduced FY2027 guidance of $4.17, maintaining 6–8% long-term growth. </w:t>
      </w:r>
      <w:r>
        <w:rPr>
          <w:rFonts w:ascii="Calibri" w:hAnsi="Calibri"/>
          <w:b/>
          <w:color w:val="525866"/>
          <w:sz w:val="22"/>
        </w:rPr>
        <w:t>PPL read-through:</w:t>
      </w:r>
      <w:r>
        <w:rPr>
          <w:rFonts w:ascii="Calibri" w:hAnsi="Calibri"/>
          <w:color w:val="525866"/>
          <w:sz w:val="22"/>
        </w:rPr>
        <w:t xml:space="preserve"> CMS’s high-end confidence and early FY2027 guidance introduction mirrors PPL’s own posture of guiding near the top end of 6–8% CAGR.</w:t>
      </w:r>
    </w:p>
    <w:p>
      <w:pPr>
        <w:pStyle w:val="ListBullet"/>
        <w:ind w:left="360" w:hanging="360"/>
      </w:pPr>
      <w:r>
        <w:rPr>
          <w:rFonts w:ascii="Calibri" w:hAnsi="Calibri"/>
          <w:b/>
          <w:color w:val="525866"/>
          <w:sz w:val="22"/>
        </w:rPr>
        <w:t>DTE Energy (reported July 28):</w:t>
      </w:r>
      <w:r>
        <w:rPr>
          <w:rFonts w:ascii="Calibri" w:hAnsi="Calibri"/>
          <w:color w:val="525866"/>
          <w:sz w:val="22"/>
        </w:rPr>
        <w:t xml:space="preserve"> Reaffirmed FY2026 guidance and stated it is “on track to reach the high end” of operating EPS guidance. Reaffirmed 6–8% long-term growth through 2030. </w:t>
      </w:r>
      <w:r>
        <w:rPr>
          <w:rFonts w:ascii="Calibri" w:hAnsi="Calibri"/>
          <w:b/>
          <w:color w:val="525866"/>
          <w:sz w:val="22"/>
        </w:rPr>
        <w:t>PPL read-through:</w:t>
      </w:r>
      <w:r>
        <w:rPr>
          <w:rFonts w:ascii="Calibri" w:hAnsi="Calibri"/>
          <w:color w:val="525866"/>
          <w:sz w:val="22"/>
        </w:rPr>
        <w:t xml:space="preserve"> DTE’s high-end confidence, driven by its 1 GW Google data center agreement, is directly analogous to PPL’s Blackstone JV optionality — a signed ESSA could similarly push PPL toward the top end.</w:t>
      </w:r>
    </w:p>
    <w:p>
      <w:pPr>
        <w:pStyle w:val="ListBullet"/>
        <w:ind w:left="360" w:hanging="360"/>
      </w:pPr>
      <w:r>
        <w:rPr>
          <w:rFonts w:ascii="Calibri" w:hAnsi="Calibri"/>
          <w:b/>
          <w:color w:val="525866"/>
          <w:sz w:val="22"/>
        </w:rPr>
        <w:t>Duke Energy (reported August 3–4):</w:t>
      </w:r>
      <w:r>
        <w:rPr>
          <w:rFonts w:ascii="Calibri" w:hAnsi="Calibri"/>
          <w:color w:val="525866"/>
          <w:sz w:val="22"/>
        </w:rPr>
        <w:t xml:space="preserve"> Reaffirmed FY2026 adjusted EPS guidance of $6.55–$6.80 and long-term 5–7% growth, with “more confidence than ever” in delivering in the top half of the range beginning in 2028. </w:t>
      </w:r>
      <w:r>
        <w:rPr>
          <w:rFonts w:ascii="Calibri" w:hAnsi="Calibri"/>
          <w:b/>
          <w:color w:val="525866"/>
          <w:sz w:val="22"/>
        </w:rPr>
        <w:t>PPL read-through:</w:t>
      </w:r>
      <w:r>
        <w:rPr>
          <w:rFonts w:ascii="Calibri" w:hAnsi="Calibri"/>
          <w:color w:val="525866"/>
          <w:sz w:val="22"/>
        </w:rPr>
        <w:t xml:space="preserve"> Duke’s accelerating growth from 2028 onward (driven by ESA-contracted data center load) is the same dynamic PPL is guiding to — “stronger growth beginning in 2027 and continuing through 2029.”</w:t>
      </w:r>
    </w:p>
    <w:p>
      <w:pPr>
        <w:pStyle w:val="ListBullet"/>
        <w:ind w:left="360" w:hanging="360"/>
      </w:pPr>
      <w:r>
        <w:rPr>
          <w:rFonts w:ascii="Calibri" w:hAnsi="Calibri"/>
          <w:b/>
          <w:color w:val="525866"/>
          <w:sz w:val="22"/>
        </w:rPr>
        <w:t>Entergy (reported July 29):</w:t>
      </w:r>
      <w:r>
        <w:rPr>
          <w:rFonts w:ascii="Calibri" w:hAnsi="Calibri"/>
          <w:color w:val="525866"/>
          <w:sz w:val="22"/>
        </w:rPr>
        <w:t xml:space="preserve"> Reaffirmed FY2026 adjusted EPS guidance and outlooks through 2030. </w:t>
      </w:r>
      <w:r>
        <w:rPr>
          <w:rFonts w:ascii="Calibri" w:hAnsi="Calibri"/>
          <w:b/>
          <w:color w:val="525866"/>
          <w:sz w:val="22"/>
        </w:rPr>
        <w:t>PPL read-through:</w:t>
      </w:r>
      <w:r>
        <w:rPr>
          <w:rFonts w:ascii="Calibri" w:hAnsi="Calibri"/>
          <w:color w:val="525866"/>
          <w:sz w:val="22"/>
        </w:rPr>
        <w:t xml:space="preserve"> Consistent sector-wide reaffirmation reduces the risk of a PPL guidance cut.</w:t>
      </w:r>
    </w:p>
    <w:p>
      <w:pPr>
        <w:pStyle w:val="ListBullet"/>
        <w:ind w:left="360" w:hanging="360"/>
      </w:pPr>
      <w:r>
        <w:rPr>
          <w:rFonts w:ascii="Calibri" w:hAnsi="Calibri"/>
          <w:b/>
          <w:color w:val="525866"/>
          <w:sz w:val="22"/>
        </w:rPr>
        <w:t>Exelon (reported July 30):</w:t>
      </w:r>
      <w:r>
        <w:rPr>
          <w:rFonts w:ascii="Calibri" w:hAnsi="Calibri"/>
          <w:color w:val="525866"/>
          <w:sz w:val="22"/>
        </w:rPr>
        <w:t xml:space="preserve"> Reaffirmed FY2026 operating EPS of $2.81–$2.91 with a goal to be “at the midpoint or better.” Reaffirmed near-top-end 5–7% growth through 2029. </w:t>
      </w:r>
      <w:r>
        <w:rPr>
          <w:rFonts w:ascii="Calibri" w:hAnsi="Calibri"/>
          <w:b/>
          <w:color w:val="525866"/>
          <w:sz w:val="22"/>
        </w:rPr>
        <w:t>PPL read-through:</w:t>
      </w:r>
      <w:r>
        <w:rPr>
          <w:rFonts w:ascii="Calibri" w:hAnsi="Calibri"/>
          <w:color w:val="525866"/>
          <w:sz w:val="22"/>
        </w:rPr>
        <w:t xml:space="preserve"> Exelon’s “midpoint or better” language is directly analogous to PPL’s own positioning; both companies are guiding to the upper half of their ranges.</w:t>
      </w:r>
    </w:p>
    <w:p>
      <w:pPr>
        <w:pStyle w:val="ListBullet"/>
        <w:ind w:left="360" w:hanging="360"/>
      </w:pPr>
      <w:r>
        <w:rPr>
          <w:rFonts w:ascii="Calibri" w:hAnsi="Calibri"/>
          <w:b/>
          <w:color w:val="525866"/>
          <w:sz w:val="22"/>
        </w:rPr>
        <w:t>FirstEnergy (reported July 28–29):</w:t>
      </w:r>
      <w:r>
        <w:rPr>
          <w:rFonts w:ascii="Calibri" w:hAnsi="Calibri"/>
          <w:color w:val="525866"/>
          <w:sz w:val="22"/>
        </w:rPr>
        <w:t xml:space="preserve"> Reaffirmed FY2026 core EPS of $2.62–$2.82 and “near the top end of 6–8%” long-term growth through 2030. </w:t>
      </w:r>
      <w:r>
        <w:rPr>
          <w:rFonts w:ascii="Calibri" w:hAnsi="Calibri"/>
          <w:b/>
          <w:color w:val="525866"/>
          <w:sz w:val="22"/>
        </w:rPr>
        <w:t>PPL read-through:</w:t>
      </w:r>
      <w:r>
        <w:rPr>
          <w:rFonts w:ascii="Calibri" w:hAnsi="Calibri"/>
          <w:color w:val="525866"/>
          <w:sz w:val="22"/>
        </w:rPr>
        <w:t xml:space="preserve"> FE’s top-end growth confidence, supported by a $36B five-year capital plan, validates the sector’s ability to sustain above-average investment cycles.</w:t>
      </w:r>
    </w:p>
    <w:p>
      <w:pPr>
        <w:pStyle w:val="ListBullet"/>
        <w:ind w:left="360" w:hanging="360"/>
      </w:pPr>
      <w:r>
        <w:rPr>
          <w:rFonts w:ascii="Calibri" w:hAnsi="Calibri"/>
          <w:b/>
          <w:color w:val="525866"/>
          <w:sz w:val="22"/>
        </w:rPr>
        <w:t>PSEG (reported August 4):</w:t>
      </w:r>
      <w:r>
        <w:rPr>
          <w:rFonts w:ascii="Calibri" w:hAnsi="Calibri"/>
          <w:color w:val="525866"/>
          <w:sz w:val="22"/>
        </w:rPr>
        <w:t xml:space="preserve"> Reaffirmed FY2026 non-GAAP operating EPS of $4.28–$4.40 and 6–8% five-year growth through 2030. Notably, PSEG’s $22.5–$25.5B five-year capital plan is funded without new equity issuance. </w:t>
      </w:r>
      <w:r>
        <w:rPr>
          <w:rFonts w:ascii="Calibri" w:hAnsi="Calibri"/>
          <w:b/>
          <w:color w:val="525866"/>
          <w:sz w:val="22"/>
        </w:rPr>
        <w:t>PPL read-through:</w:t>
      </w:r>
      <w:r>
        <w:rPr>
          <w:rFonts w:ascii="Calibri" w:hAnsi="Calibri"/>
          <w:color w:val="525866"/>
          <w:sz w:val="22"/>
        </w:rPr>
        <w:t xml:space="preserve"> PSEG’s no-equity-needed posture contrasts with PPL’s remaining ~$2B equity need (ATM), but both companies are executing large capital plans with strong credit metrics.</w:t>
      </w:r>
    </w:p>
    <w:p>
      <w:pPr>
        <w:pStyle w:val="ListBullet"/>
        <w:ind w:left="360" w:hanging="360"/>
      </w:pPr>
      <w:r>
        <w:rPr>
          <w:rFonts w:ascii="Calibri" w:hAnsi="Calibri"/>
          <w:b/>
          <w:color w:val="525866"/>
          <w:sz w:val="22"/>
        </w:rPr>
        <w:t>Xcel Energy (reported July 29–30):</w:t>
      </w:r>
      <w:r>
        <w:rPr>
          <w:rFonts w:ascii="Calibri" w:hAnsi="Calibri"/>
          <w:color w:val="525866"/>
          <w:sz w:val="22"/>
        </w:rPr>
        <w:t xml:space="preserve"> Reaffirmed FY2026 ongoing EPS of $4.04–$4.16 and guided to “9%+ EPS growth on average through 2030.” </w:t>
      </w:r>
      <w:r>
        <w:rPr>
          <w:rFonts w:ascii="Calibri" w:hAnsi="Calibri"/>
          <w:b/>
          <w:color w:val="525866"/>
          <w:sz w:val="22"/>
        </w:rPr>
        <w:t>PPL read-through:</w:t>
      </w:r>
      <w:r>
        <w:rPr>
          <w:rFonts w:ascii="Calibri" w:hAnsi="Calibri"/>
          <w:color w:val="525866"/>
          <w:sz w:val="22"/>
        </w:rPr>
        <w:t xml:space="preserve"> Xcel’s 9%+ growth guidance (above its stated 6–8%+ range) driven by data center load is the most aggressive in the sector — sets a high bar for what data center-driven utilities can achieve, and PPL’s own near-top-end guidance looks conservative by comparison.</w:t>
      </w:r>
    </w:p>
    <w:p>
      <w:pPr>
        <w:pStyle w:val="Heading3"/>
      </w:pPr>
      <w:r>
        <w:rPr>
          <w:rFonts w:ascii="Calibri" w:hAnsi="Calibri"/>
          <w:b/>
          <w:color w:val="3B4259"/>
          <w:sz w:val="24"/>
        </w:rPr>
        <w:t>7.2 Data Center &amp; Large Load Demand: Accelerating Across the Sector (Highly Bullish Read-Through)</w:t>
      </w:r>
    </w:p>
    <w:p>
      <w:r>
        <w:rPr>
          <w:rFonts w:ascii="Calibri" w:hAnsi="Calibri"/>
          <w:b/>
          <w:color w:val="525866"/>
          <w:sz w:val="22"/>
        </w:rPr>
        <w:t xml:space="preserve">Read-Through: </w:t>
      </w:r>
      <w:r>
        <w:rPr>
          <w:rFonts w:ascii="Calibri" w:hAnsi="Calibri"/>
          <w:b/>
          <w:color w:val="30A46C"/>
          <w:sz w:val="22"/>
        </w:rPr>
        <w:t xml:space="preserve">Strongly Positive. </w:t>
      </w:r>
      <w:r>
        <w:rPr>
          <w:rFonts w:ascii="Calibri" w:hAnsi="Calibri"/>
          <w:color w:val="525866"/>
          <w:sz w:val="22"/>
        </w:rPr>
        <w:t xml:space="preserve"> Every peer reported massive and growing data center pipelines, with several announcing new signed agreements in Q2 2026. The sector is coalescing around frameworks that protect existing customers while capturing incremental load — directly validating PPL’s own tariff structure and Blackstone JV strategy.</w:t>
      </w:r>
    </w:p>
    <w:p>
      <w:pPr>
        <w:pStyle w:val="ListBullet"/>
        <w:ind w:left="360" w:hanging="360"/>
      </w:pPr>
      <w:r>
        <w:rPr>
          <w:rFonts w:ascii="Calibri" w:hAnsi="Calibri"/>
          <w:b/>
          <w:color w:val="525866"/>
          <w:sz w:val="22"/>
        </w:rPr>
        <w:t>AEP:</w:t>
      </w:r>
      <w:r>
        <w:rPr>
          <w:rFonts w:ascii="Calibri" w:hAnsi="Calibri"/>
          <w:color w:val="525866"/>
          <w:sz w:val="22"/>
        </w:rPr>
        <w:t xml:space="preserve"> Added 6 GW of signed load agreements in Q2 alone, bringing total contracted load through 2030 to 69 GW. Secured 3 additional GW of gas turbine capacity in Q2 (total 13 GW secured). </w:t>
      </w:r>
      <w:r>
        <w:rPr>
          <w:rFonts w:ascii="Calibri" w:hAnsi="Calibri"/>
          <w:b/>
          <w:color w:val="525866"/>
          <w:sz w:val="22"/>
        </w:rPr>
        <w:t>PPL read-through:</w:t>
      </w:r>
      <w:r>
        <w:rPr>
          <w:rFonts w:ascii="Calibri" w:hAnsi="Calibri"/>
          <w:color w:val="525866"/>
          <w:sz w:val="22"/>
        </w:rPr>
        <w:t xml:space="preserve"> AEP’s 6 GW quarterly addition is the fastest pace in the sector and validates that hyperscaler demand is accelerating, not plateauing. PPL’s 28.3 GW Pennsylvania advanced-stage pipeline and 12.9 GW Kentucky pipeline are consistent with this demand environment.</w:t>
      </w:r>
    </w:p>
    <w:p>
      <w:pPr>
        <w:pStyle w:val="ListBullet"/>
        <w:ind w:left="360" w:hanging="360"/>
      </w:pPr>
      <w:r>
        <w:rPr>
          <w:rFonts w:ascii="Calibri" w:hAnsi="Calibri"/>
          <w:b/>
          <w:color w:val="525866"/>
          <w:sz w:val="22"/>
        </w:rPr>
        <w:t>Dominion Energy (reported July 31):</w:t>
      </w:r>
      <w:r>
        <w:rPr>
          <w:rFonts w:ascii="Calibri" w:hAnsi="Calibri"/>
          <w:color w:val="525866"/>
          <w:sz w:val="22"/>
        </w:rPr>
        <w:t xml:space="preserve"> Now has over 53 GW of data center capacity in various stages of contracting, including ~12 GW under contract (up 5 GW since year-end). The Dominion zone experienced nine of its top ten all-time peak days in 2026, including the eight highest summer peaks in the last two months. </w:t>
      </w:r>
      <w:r>
        <w:rPr>
          <w:rFonts w:ascii="Calibri" w:hAnsi="Calibri"/>
          <w:b/>
          <w:color w:val="525866"/>
          <w:sz w:val="22"/>
        </w:rPr>
        <w:t>PPL read-through:</w:t>
      </w:r>
      <w:r>
        <w:rPr>
          <w:rFonts w:ascii="Calibri" w:hAnsi="Calibri"/>
          <w:color w:val="525866"/>
          <w:sz w:val="22"/>
        </w:rPr>
        <w:t xml:space="preserve"> Dominion’s record peak demand in its service territory (adjacent to PPL’s Pennsylvania footprint) confirms that data center load is materializing in real time, not just in pipeline projections. PPL’s 10 GW of signed ESAs in Pennsylvania is consistent with this trajectory.</w:t>
      </w:r>
    </w:p>
    <w:p>
      <w:pPr>
        <w:pStyle w:val="ListBullet"/>
        <w:ind w:left="360" w:hanging="360"/>
      </w:pPr>
      <w:r>
        <w:rPr>
          <w:rFonts w:ascii="Calibri" w:hAnsi="Calibri"/>
          <w:b/>
          <w:color w:val="525866"/>
          <w:sz w:val="22"/>
        </w:rPr>
        <w:t>DTE Energy:</w:t>
      </w:r>
      <w:r>
        <w:rPr>
          <w:rFonts w:ascii="Calibri" w:hAnsi="Calibri"/>
          <w:color w:val="525866"/>
          <w:sz w:val="22"/>
        </w:rPr>
        <w:t xml:space="preserve"> Has 2.4 GW of executed data center agreements (1.4 GW Oracle + 1 GW Google) and a pipeline of 5–6 GW of additional opportunities, targeting another agreement by end of 2026. The 1 GW Google agreement “gets us solidly to eight” percent long-term growth. </w:t>
      </w:r>
      <w:r>
        <w:rPr>
          <w:rFonts w:ascii="Calibri" w:hAnsi="Calibri"/>
          <w:b/>
          <w:color w:val="525866"/>
          <w:sz w:val="22"/>
        </w:rPr>
        <w:t>PPL read-through:</w:t>
      </w:r>
      <w:r>
        <w:rPr>
          <w:rFonts w:ascii="Calibri" w:hAnsi="Calibri"/>
          <w:color w:val="525866"/>
          <w:sz w:val="22"/>
        </w:rPr>
        <w:t xml:space="preserve"> DTE’s experience is the closest analog to PPL’s Blackstone JV — a single large signed agreement materially moved DTE’s growth trajectory to the top end of its range. A PPL/Blackstone ESSA announcement would have a similar or larger impact given the scale of the Pennsylvania pipeline.</w:t>
      </w:r>
    </w:p>
    <w:p>
      <w:pPr>
        <w:pStyle w:val="ListBullet"/>
        <w:ind w:left="360" w:hanging="360"/>
      </w:pPr>
      <w:r>
        <w:rPr>
          <w:rFonts w:ascii="Calibri" w:hAnsi="Calibri"/>
          <w:b/>
          <w:color w:val="525866"/>
          <w:sz w:val="22"/>
        </w:rPr>
        <w:t>Duke Energy:</w:t>
      </w:r>
      <w:r>
        <w:rPr>
          <w:rFonts w:ascii="Calibri" w:hAnsi="Calibri"/>
          <w:color w:val="525866"/>
          <w:sz w:val="22"/>
        </w:rPr>
        <w:t xml:space="preserve"> Has secured 7.8 GW of ESAs with data center customers and expects the remainder of its 15.4 GW pipeline to convert to ESAs by H1 2027. Executing the “industry’s largest regulated capital plan, deploying more than $1 billion per month.” </w:t>
      </w:r>
      <w:r>
        <w:rPr>
          <w:rFonts w:ascii="Calibri" w:hAnsi="Calibri"/>
          <w:b/>
          <w:color w:val="525866"/>
          <w:sz w:val="22"/>
        </w:rPr>
        <w:t>PPL read-through:</w:t>
      </w:r>
      <w:r>
        <w:rPr>
          <w:rFonts w:ascii="Calibri" w:hAnsi="Calibri"/>
          <w:color w:val="525866"/>
          <w:sz w:val="22"/>
        </w:rPr>
        <w:t xml:space="preserve"> Duke’s pipeline conversion timeline (H1 2027) is instructive for PPL’s own 28.3 GW Pennsylvania pipeline — suggests the conversion from advanced-stage to signed ESA can happen at scale within 12–18 months.</w:t>
      </w:r>
    </w:p>
    <w:p>
      <w:pPr>
        <w:pStyle w:val="ListBullet"/>
        <w:ind w:left="360" w:hanging="360"/>
      </w:pPr>
      <w:r>
        <w:rPr>
          <w:rFonts w:ascii="Calibri" w:hAnsi="Calibri"/>
          <w:b/>
          <w:color w:val="525866"/>
          <w:sz w:val="22"/>
        </w:rPr>
        <w:t>Entergy:</w:t>
      </w:r>
      <w:r>
        <w:rPr>
          <w:rFonts w:ascii="Calibri" w:hAnsi="Calibri"/>
          <w:color w:val="525866"/>
          <w:sz w:val="22"/>
        </w:rPr>
        <w:t xml:space="preserve"> Has a pipeline of 7–12 GW of hyperscale data center potential plus 3–5 GW of traditional industrial interest. “Fair Share Plus” pledge ensures data centers pay full cost to serve, with $7 billion in expected customer bill benefits. </w:t>
      </w:r>
      <w:r>
        <w:rPr>
          <w:rFonts w:ascii="Calibri" w:hAnsi="Calibri"/>
          <w:b/>
          <w:color w:val="525866"/>
          <w:sz w:val="22"/>
        </w:rPr>
        <w:t>PPL read-through:</w:t>
      </w:r>
      <w:r>
        <w:rPr>
          <w:rFonts w:ascii="Calibri" w:hAnsi="Calibri"/>
          <w:color w:val="525866"/>
          <w:sz w:val="22"/>
        </w:rPr>
        <w:t xml:space="preserve"> Entergy’s “Fair Share Plus” framework is directly analogous to PPL’s own tariff structure (80% minimum load payments, transmission cost sharing). The $7B customer benefit figure validates PPL’s messaging that data center growth lowers costs for existing customers.</w:t>
      </w:r>
    </w:p>
    <w:p>
      <w:pPr>
        <w:pStyle w:val="ListBullet"/>
        <w:ind w:left="360" w:hanging="360"/>
      </w:pPr>
      <w:r>
        <w:rPr>
          <w:rFonts w:ascii="Calibri" w:hAnsi="Calibri"/>
          <w:b/>
          <w:color w:val="525866"/>
          <w:sz w:val="22"/>
        </w:rPr>
        <w:t>Exelon:</w:t>
      </w:r>
      <w:r>
        <w:rPr>
          <w:rFonts w:ascii="Calibri" w:hAnsi="Calibri"/>
          <w:color w:val="525866"/>
          <w:sz w:val="22"/>
        </w:rPr>
        <w:t xml:space="preserve"> Revised its data center pipeline down from 43 GW to 36 GW after implementing Transmission Security Agreements (TSAs) to filter speculative projects. High-probability pipeline is now 11 GW, with 4 GW having signed TSAs backed by $1 billion in collateral. PJM hit a record peak of 168 GW in July, activating emergency procedures. </w:t>
      </w:r>
      <w:r>
        <w:rPr>
          <w:rFonts w:ascii="Calibri" w:hAnsi="Calibri"/>
          <w:b/>
          <w:color w:val="525866"/>
          <w:sz w:val="22"/>
        </w:rPr>
        <w:t>PPL read-through:</w:t>
      </w:r>
      <w:r>
        <w:rPr>
          <w:rFonts w:ascii="Calibri" w:hAnsi="Calibri"/>
          <w:color w:val="525866"/>
          <w:sz w:val="22"/>
        </w:rPr>
        <w:t xml:space="preserve"> Exelon’s pipeline rationalization is a cautionary note — PPL’s 28.3 GW “advanced-stage” Pennsylvania pipeline may face similar scrutiny. However, PPL’s ESA structure (with prepayments, credit support, and minimum load obligations) already filters speculative projects. The PJM record peak (168 GW) directly affects PPL’s Pennsylvania transmission business and validates incremental transmission investment.</w:t>
      </w:r>
    </w:p>
    <w:p>
      <w:pPr>
        <w:pStyle w:val="ListBullet"/>
        <w:ind w:left="360" w:hanging="360"/>
      </w:pPr>
      <w:r>
        <w:rPr>
          <w:rFonts w:ascii="Calibri" w:hAnsi="Calibri"/>
          <w:b/>
          <w:color w:val="525866"/>
          <w:sz w:val="22"/>
        </w:rPr>
        <w:t>FirstEnergy:</w:t>
      </w:r>
      <w:r>
        <w:rPr>
          <w:rFonts w:ascii="Calibri" w:hAnsi="Calibri"/>
          <w:color w:val="525866"/>
          <w:sz w:val="22"/>
        </w:rPr>
        <w:t xml:space="preserve"> Total forecasted data center demand increased 30% since Q1 to ~25 GW; contracted an additional 2.1 GW in Q2, bringing total contracted demand to 6.4 GW. Total customer load increased ~2% in Q2 on a weather-adjusted basis, with industrial load up over 4%. </w:t>
      </w:r>
      <w:r>
        <w:rPr>
          <w:rFonts w:ascii="Calibri" w:hAnsi="Calibri"/>
          <w:b/>
          <w:color w:val="525866"/>
          <w:sz w:val="22"/>
        </w:rPr>
        <w:t>PPL read-through:</w:t>
      </w:r>
      <w:r>
        <w:rPr>
          <w:rFonts w:ascii="Calibri" w:hAnsi="Calibri"/>
          <w:color w:val="525866"/>
          <w:sz w:val="22"/>
        </w:rPr>
        <w:t xml:space="preserve"> FE’s 30% pipeline growth in a single quarter mirrors the pace of PPL’s own pipeline expansion (Kentucky grew nearly 4 GW in Q1 alone). FE’s service territory overlaps with PPL’s Pennsylvania footprint, making its demand data particularly relevant.</w:t>
      </w:r>
    </w:p>
    <w:p>
      <w:pPr>
        <w:pStyle w:val="ListBullet"/>
        <w:ind w:left="360" w:hanging="360"/>
      </w:pPr>
      <w:r>
        <w:rPr>
          <w:rFonts w:ascii="Calibri" w:hAnsi="Calibri"/>
          <w:b/>
          <w:color w:val="525866"/>
          <w:sz w:val="22"/>
        </w:rPr>
        <w:t>CMS Energy:</w:t>
      </w:r>
      <w:r>
        <w:rPr>
          <w:rFonts w:ascii="Calibri" w:hAnsi="Calibri"/>
          <w:color w:val="525866"/>
          <w:sz w:val="22"/>
        </w:rPr>
        <w:t xml:space="preserve"> Reached a large load tariff agreement ensuring new customers “bear all costs to serve them.” Estimates residential customers could see ~$7.50/month bill benefit per GW of new large load. </w:t>
      </w:r>
      <w:r>
        <w:rPr>
          <w:rFonts w:ascii="Calibri" w:hAnsi="Calibri"/>
          <w:b/>
          <w:color w:val="525866"/>
          <w:sz w:val="22"/>
        </w:rPr>
        <w:t>PPL read-through:</w:t>
      </w:r>
      <w:r>
        <w:rPr>
          <w:rFonts w:ascii="Calibri" w:hAnsi="Calibri"/>
          <w:color w:val="525866"/>
          <w:sz w:val="22"/>
        </w:rPr>
        <w:t xml:space="preserve"> CMS’s quantified customer benefit ($7.50/month per GW) provides a useful benchmark for PPL’s own affordability messaging. PPL’s tariff structure similarly shifts costs to large load customers.</w:t>
      </w:r>
    </w:p>
    <w:p>
      <w:pPr>
        <w:pStyle w:val="ListBullet"/>
        <w:ind w:left="360" w:hanging="360"/>
      </w:pPr>
      <w:r>
        <w:rPr>
          <w:rFonts w:ascii="Calibri" w:hAnsi="Calibri"/>
          <w:b/>
          <w:color w:val="525866"/>
          <w:sz w:val="22"/>
        </w:rPr>
        <w:t>Xcel Energy:</w:t>
      </w:r>
      <w:r>
        <w:rPr>
          <w:rFonts w:ascii="Calibri" w:hAnsi="Calibri"/>
          <w:color w:val="525866"/>
          <w:sz w:val="22"/>
        </w:rPr>
        <w:t xml:space="preserve"> Has 1 GW of data centers in operation or under construction, 1 GW under signed ESAs, and expects to secure an additional 4 GW by year-end 2027. Large load tariff recently approved in Minnesota; filings made in Colorado and Wisconsin. </w:t>
      </w:r>
      <w:r>
        <w:rPr>
          <w:rFonts w:ascii="Calibri" w:hAnsi="Calibri"/>
          <w:b/>
          <w:color w:val="525866"/>
          <w:sz w:val="22"/>
        </w:rPr>
        <w:t>PPL read-through:</w:t>
      </w:r>
      <w:r>
        <w:rPr>
          <w:rFonts w:ascii="Calibri" w:hAnsi="Calibri"/>
          <w:color w:val="525866"/>
          <w:sz w:val="22"/>
        </w:rPr>
        <w:t xml:space="preserve"> Xcel’s multi-state tariff rollout validates the regulatory pathway PPL has already established in Pennsylvania. Xcel’s 4 GW target by year-end 2027 is modest relative to PPL’s pipeline, suggesting PPL is ahead of peers in pipeline development.</w:t>
      </w:r>
    </w:p>
    <w:p>
      <w:pPr>
        <w:pStyle w:val="Heading3"/>
      </w:pPr>
      <w:r>
        <w:rPr>
          <w:rFonts w:ascii="Calibri" w:hAnsi="Calibri"/>
          <w:b/>
          <w:color w:val="3B4259"/>
          <w:sz w:val="24"/>
        </w:rPr>
        <w:t>7.3 Capital Expenditure &amp; Generation Supply: Sector-Wide Acceleration (Positive Read-Through)</w:t>
      </w:r>
    </w:p>
    <w:p>
      <w:r>
        <w:rPr>
          <w:rFonts w:ascii="Calibri" w:hAnsi="Calibri"/>
          <w:b/>
          <w:color w:val="525866"/>
          <w:sz w:val="22"/>
        </w:rPr>
        <w:t xml:space="preserve">Read-Through: </w:t>
      </w:r>
      <w:r>
        <w:rPr>
          <w:rFonts w:ascii="Calibri" w:hAnsi="Calibri"/>
          <w:b/>
          <w:color w:val="30A46C"/>
          <w:sz w:val="22"/>
        </w:rPr>
        <w:t xml:space="preserve">Positive. </w:t>
      </w:r>
      <w:r>
        <w:rPr>
          <w:rFonts w:ascii="Calibri" w:hAnsi="Calibri"/>
          <w:color w:val="525866"/>
          <w:sz w:val="22"/>
        </w:rPr>
        <w:t xml:space="preserve"> Peers are executing multi-billion dollar capital plans and securing gas turbine capacity at scale, validating PPL’s own $23B plan and Blackstone JV’s turbine reservation strategy. Supply tightness in PJM (record 168 GW peak) supports the case for new generation investment.</w:t>
      </w:r>
    </w:p>
    <w:p>
      <w:pPr>
        <w:pStyle w:val="ListBullet"/>
        <w:ind w:left="360" w:hanging="360"/>
      </w:pPr>
      <w:r>
        <w:rPr>
          <w:rFonts w:ascii="Calibri" w:hAnsi="Calibri"/>
          <w:b/>
          <w:color w:val="525866"/>
          <w:sz w:val="22"/>
        </w:rPr>
        <w:t>AEP:</w:t>
      </w:r>
      <w:r>
        <w:rPr>
          <w:rFonts w:ascii="Calibri" w:hAnsi="Calibri"/>
          <w:color w:val="525866"/>
          <w:sz w:val="22"/>
        </w:rPr>
        <w:t xml:space="preserve"> Five-year $78B capital plan (2026–2030); secured 13 GW of gas turbine capacity total (3 GW added in Q2). Has line of sight to &gt;$10B in incremental investments. </w:t>
      </w:r>
      <w:r>
        <w:rPr>
          <w:rFonts w:ascii="Calibri" w:hAnsi="Calibri"/>
          <w:b/>
          <w:color w:val="525866"/>
          <w:sz w:val="22"/>
        </w:rPr>
        <w:t>PPL read-through:</w:t>
      </w:r>
      <w:r>
        <w:rPr>
          <w:rFonts w:ascii="Calibri" w:hAnsi="Calibri"/>
          <w:color w:val="525866"/>
          <w:sz w:val="22"/>
        </w:rPr>
        <w:t xml:space="preserve"> AEP’s gas turbine reservation pace (3 GW in a single quarter) validates PPL/Blackstone’s strategy of executing multiple turbine reservation agreements ahead of signed ESSAs. The scale of AEP’s plan also confirms that equipment supply chains are accessible at the volumes PPL needs.</w:t>
      </w:r>
    </w:p>
    <w:p>
      <w:pPr>
        <w:pStyle w:val="ListBullet"/>
        <w:ind w:left="360" w:hanging="360"/>
      </w:pPr>
      <w:r>
        <w:rPr>
          <w:rFonts w:ascii="Calibri" w:hAnsi="Calibri"/>
          <w:b/>
          <w:color w:val="525866"/>
          <w:sz w:val="22"/>
        </w:rPr>
        <w:t>Duke Energy:</w:t>
      </w:r>
      <w:r>
        <w:rPr>
          <w:rFonts w:ascii="Calibri" w:hAnsi="Calibri"/>
          <w:color w:val="525866"/>
          <w:sz w:val="22"/>
        </w:rPr>
        <w:t xml:space="preserve"> Deploying &gt;$1B/month in regulated capital; $5–10B upside to current five-year plan for additional generation and transmission. </w:t>
      </w:r>
      <w:r>
        <w:rPr>
          <w:rFonts w:ascii="Calibri" w:hAnsi="Calibri"/>
          <w:b/>
          <w:color w:val="525866"/>
          <w:sz w:val="22"/>
        </w:rPr>
        <w:t>PPL read-through:</w:t>
      </w:r>
      <w:r>
        <w:rPr>
          <w:rFonts w:ascii="Calibri" w:hAnsi="Calibri"/>
          <w:color w:val="525866"/>
          <w:sz w:val="22"/>
        </w:rPr>
        <w:t xml:space="preserve"> Duke’s $5–10B upside range is analogous to PPL’s own identified upside (at least $0.5B incremental transmission CapEx for PA data centers, plus Blackstone JV generation capital). Suggests the market may be undervaluing PPL’s capital optionality.</w:t>
      </w:r>
    </w:p>
    <w:p>
      <w:pPr>
        <w:pStyle w:val="ListBullet"/>
        <w:ind w:left="360" w:hanging="360"/>
      </w:pPr>
      <w:r>
        <w:rPr>
          <w:rFonts w:ascii="Calibri" w:hAnsi="Calibri"/>
          <w:b/>
          <w:color w:val="525866"/>
          <w:sz w:val="22"/>
        </w:rPr>
        <w:t>Exelon:</w:t>
      </w:r>
      <w:r>
        <w:rPr>
          <w:rFonts w:ascii="Calibri" w:hAnsi="Calibri"/>
          <w:color w:val="525866"/>
          <w:sz w:val="22"/>
        </w:rPr>
        <w:t xml:space="preserve"> Announced a new 500 MW battery storage project in New Jersey (~$1B investment not in current plan). PJM record peak of 168 GW in July activated emergency procedures; “demand is growing faster than supply, and the system is under increasing strain.” </w:t>
      </w:r>
      <w:r>
        <w:rPr>
          <w:rFonts w:ascii="Calibri" w:hAnsi="Calibri"/>
          <w:b/>
          <w:color w:val="525866"/>
          <w:sz w:val="22"/>
        </w:rPr>
        <w:t>PPL read-through:</w:t>
      </w:r>
      <w:r>
        <w:rPr>
          <w:rFonts w:ascii="Calibri" w:hAnsi="Calibri"/>
          <w:color w:val="525866"/>
          <w:sz w:val="22"/>
        </w:rPr>
        <w:t xml:space="preserve"> PJM supply tightness is the most direct read-through for PPL’s Pennsylvania transmission business. Grid strain validates incremental transmission investment and supports the case for Blackstone JV generation in Pennsylvania.</w:t>
      </w:r>
    </w:p>
    <w:p>
      <w:pPr>
        <w:pStyle w:val="ListBullet"/>
        <w:ind w:left="360" w:hanging="360"/>
      </w:pPr>
      <w:r>
        <w:rPr>
          <w:rFonts w:ascii="Calibri" w:hAnsi="Calibri"/>
          <w:b/>
          <w:color w:val="525866"/>
          <w:sz w:val="22"/>
        </w:rPr>
        <w:t>DTE Energy:</w:t>
      </w:r>
      <w:r>
        <w:rPr>
          <w:rFonts w:ascii="Calibri" w:hAnsi="Calibri"/>
          <w:color w:val="525866"/>
          <w:sz w:val="22"/>
        </w:rPr>
        <w:t xml:space="preserve"> Plans to invest ~$11B over five years on reliability improvements. A severe storm in early July impacted nearly 400,000 customers, highlighting the need for grid hardening. </w:t>
      </w:r>
      <w:r>
        <w:rPr>
          <w:rFonts w:ascii="Calibri" w:hAnsi="Calibri"/>
          <w:b/>
          <w:color w:val="525866"/>
          <w:sz w:val="22"/>
        </w:rPr>
        <w:t>PPL read-through:</w:t>
      </w:r>
      <w:r>
        <w:rPr>
          <w:rFonts w:ascii="Calibri" w:hAnsi="Calibri"/>
          <w:color w:val="525866"/>
          <w:sz w:val="22"/>
        </w:rPr>
        <w:t xml:space="preserve"> DTE’s storm experience reinforces the sector-wide need for grid resilience investment — consistent with PPL’s own capital plan emphasis on grid modernization.</w:t>
      </w:r>
    </w:p>
    <w:p>
      <w:pPr>
        <w:pStyle w:val="ListBullet"/>
        <w:ind w:left="360" w:hanging="360"/>
      </w:pPr>
      <w:r>
        <w:rPr>
          <w:rFonts w:ascii="Calibri" w:hAnsi="Calibri"/>
          <w:b/>
          <w:color w:val="525866"/>
          <w:sz w:val="22"/>
        </w:rPr>
        <w:t>Dominion Energy:</w:t>
      </w:r>
      <w:r>
        <w:rPr>
          <w:rFonts w:ascii="Calibri" w:hAnsi="Calibri"/>
          <w:color w:val="525866"/>
          <w:sz w:val="22"/>
        </w:rPr>
        <w:t xml:space="preserve"> Coastal Virginia Offshore Wind (CVOW) project is 81% complete; cost estimate increased ~2% to $11.65B; final turbine installation delayed to end of 2027. </w:t>
      </w:r>
      <w:r>
        <w:rPr>
          <w:rFonts w:ascii="Calibri" w:hAnsi="Calibri"/>
          <w:b/>
          <w:color w:val="525866"/>
          <w:sz w:val="22"/>
        </w:rPr>
        <w:t>PPL read-through:</w:t>
      </w:r>
      <w:r>
        <w:rPr>
          <w:rFonts w:ascii="Calibri" w:hAnsi="Calibri"/>
          <w:color w:val="525866"/>
          <w:sz w:val="22"/>
        </w:rPr>
        <w:t xml:space="preserve"> Dominion’s offshore wind cost creep is a cautionary note for large-scale generation projects generally, but PPL’s Blackstone JV is focused on gas turbines (not offshore wind), which have more predictable cost profiles.</w:t>
      </w:r>
    </w:p>
    <w:p>
      <w:pPr>
        <w:pStyle w:val="Heading3"/>
      </w:pPr>
      <w:r>
        <w:rPr>
          <w:rFonts w:ascii="Calibri" w:hAnsi="Calibri"/>
          <w:b/>
          <w:color w:val="3B4259"/>
          <w:sz w:val="24"/>
        </w:rPr>
        <w:t>7.4 Regulatory Outcomes: Constructive Across the Sector (Positive Read-Through)</w:t>
      </w:r>
    </w:p>
    <w:p>
      <w:r>
        <w:rPr>
          <w:rFonts w:ascii="Calibri" w:hAnsi="Calibri"/>
          <w:b/>
          <w:color w:val="525866"/>
          <w:sz w:val="22"/>
        </w:rPr>
        <w:t xml:space="preserve">Read-Through: </w:t>
      </w:r>
      <w:r>
        <w:rPr>
          <w:rFonts w:ascii="Calibri" w:hAnsi="Calibri"/>
          <w:b/>
          <w:color w:val="30A46C"/>
          <w:sz w:val="22"/>
        </w:rPr>
        <w:t xml:space="preserve">Positive. </w:t>
      </w:r>
      <w:r>
        <w:rPr>
          <w:rFonts w:ascii="Calibri" w:hAnsi="Calibri"/>
          <w:color w:val="525866"/>
          <w:sz w:val="22"/>
        </w:rPr>
        <w:t xml:space="preserve"> Peers are achieving constructive regulatory outcomes across multiple jurisdictions, with large load tariffs being approved in multiple states and rate cases settling at reasonable ROEs. This validates PPL’s own constructive regulatory track record.</w:t>
      </w:r>
    </w:p>
    <w:p>
      <w:pPr>
        <w:pStyle w:val="ListBullet"/>
        <w:ind w:left="360" w:hanging="360"/>
      </w:pPr>
      <w:r>
        <w:rPr>
          <w:rFonts w:ascii="Calibri" w:hAnsi="Calibri"/>
          <w:b/>
          <w:color w:val="525866"/>
          <w:sz w:val="22"/>
        </w:rPr>
        <w:t>AEP:</w:t>
      </w:r>
      <w:r>
        <w:rPr>
          <w:rFonts w:ascii="Calibri" w:hAnsi="Calibri"/>
          <w:color w:val="525866"/>
          <w:sz w:val="22"/>
        </w:rPr>
        <w:t xml:space="preserve"> Virginia approved a large load tariff in Q2 (total now 5 states with 3 more pending). Achieved a distribution base rate decrease in Ohio and approval for 1.3 GW of generation in Oklahoma. </w:t>
      </w:r>
      <w:r>
        <w:rPr>
          <w:rFonts w:ascii="Calibri" w:hAnsi="Calibri"/>
          <w:b/>
          <w:color w:val="525866"/>
          <w:sz w:val="22"/>
        </w:rPr>
        <w:t>PPL read-through:</w:t>
      </w:r>
      <w:r>
        <w:rPr>
          <w:rFonts w:ascii="Calibri" w:hAnsi="Calibri"/>
          <w:color w:val="525866"/>
          <w:sz w:val="22"/>
        </w:rPr>
        <w:t xml:space="preserve"> AEP’s multi-state large load tariff approvals validate the regulatory pathway PPL has already established in Pennsylvania. The Ohio rate decrease demonstrates that regulators are willing to be constructive even in complex proceedings.</w:t>
      </w:r>
    </w:p>
    <w:p>
      <w:pPr>
        <w:pStyle w:val="ListBullet"/>
        <w:ind w:left="360" w:hanging="360"/>
      </w:pPr>
      <w:r>
        <w:rPr>
          <w:rFonts w:ascii="Calibri" w:hAnsi="Calibri"/>
          <w:b/>
          <w:color w:val="525866"/>
          <w:sz w:val="22"/>
        </w:rPr>
        <w:t>Duke Energy:</w:t>
      </w:r>
      <w:r>
        <w:rPr>
          <w:rFonts w:ascii="Calibri" w:hAnsi="Calibri"/>
          <w:color w:val="525866"/>
          <w:sz w:val="22"/>
        </w:rPr>
        <w:t xml:space="preserve"> Reached a comprehensive settlement in its North Carolina rate case including a 9.8% ROE and continuation of the multi-year rate plan framework. </w:t>
      </w:r>
      <w:r>
        <w:rPr>
          <w:rFonts w:ascii="Calibri" w:hAnsi="Calibri"/>
          <w:b/>
          <w:color w:val="525866"/>
          <w:sz w:val="22"/>
        </w:rPr>
        <w:t>PPL read-through:</w:t>
      </w:r>
      <w:r>
        <w:rPr>
          <w:rFonts w:ascii="Calibri" w:hAnsi="Calibri"/>
          <w:color w:val="525866"/>
          <w:sz w:val="22"/>
        </w:rPr>
        <w:t xml:space="preserve"> Duke’s 9.8% ROE settlement is a useful benchmark for PPL’s own Pennsylvania rate case ROE (not publicly disclosed but embedded in the settlement). A similar ROE would be consistent with PPL’s earnings trajectory.</w:t>
      </w:r>
    </w:p>
    <w:p>
      <w:pPr>
        <w:pStyle w:val="ListBullet"/>
        <w:ind w:left="360" w:hanging="360"/>
      </w:pPr>
      <w:r>
        <w:rPr>
          <w:rFonts w:ascii="Calibri" w:hAnsi="Calibri"/>
          <w:b/>
          <w:color w:val="525866"/>
          <w:sz w:val="22"/>
        </w:rPr>
        <w:t>Dominion Energy:</w:t>
      </w:r>
      <w:r>
        <w:rPr>
          <w:rFonts w:ascii="Calibri" w:hAnsi="Calibri"/>
          <w:color w:val="525866"/>
          <w:sz w:val="22"/>
        </w:rPr>
        <w:t xml:space="preserve"> Received a final order approving 100% of its 2025 rider filing revenue requests. South Carolina electric rate case settlement unanimously approved. </w:t>
      </w:r>
      <w:r>
        <w:rPr>
          <w:rFonts w:ascii="Calibri" w:hAnsi="Calibri"/>
          <w:b/>
          <w:color w:val="525866"/>
          <w:sz w:val="22"/>
        </w:rPr>
        <w:t>PPL read-through:</w:t>
      </w:r>
      <w:r>
        <w:rPr>
          <w:rFonts w:ascii="Calibri" w:hAnsi="Calibri"/>
          <w:color w:val="525866"/>
          <w:sz w:val="22"/>
        </w:rPr>
        <w:t xml:space="preserve"> 100% rider approval is the most constructive possible outcome and reflects the sector-wide regulatory environment. PPL’s own rider recovery mechanisms in Rhode Island (ISR plans) are similarly structured.</w:t>
      </w:r>
    </w:p>
    <w:p>
      <w:pPr>
        <w:pStyle w:val="ListBullet"/>
        <w:ind w:left="360" w:hanging="360"/>
      </w:pPr>
      <w:r>
        <w:rPr>
          <w:rFonts w:ascii="Calibri" w:hAnsi="Calibri"/>
          <w:b/>
          <w:color w:val="525866"/>
          <w:sz w:val="22"/>
        </w:rPr>
        <w:t>Entergy:</w:t>
      </w:r>
      <w:r>
        <w:rPr>
          <w:rFonts w:ascii="Calibri" w:hAnsi="Calibri"/>
          <w:color w:val="525866"/>
          <w:sz w:val="22"/>
        </w:rPr>
        <w:t xml:space="preserve"> Entergy Texas received approval for its first-ever capacity cost recovery rider. Louisiana and New Orleans FRPs on track for September new rates. </w:t>
      </w:r>
      <w:r>
        <w:rPr>
          <w:rFonts w:ascii="Calibri" w:hAnsi="Calibri"/>
          <w:b/>
          <w:color w:val="525866"/>
          <w:sz w:val="22"/>
        </w:rPr>
        <w:t>PPL read-through:</w:t>
      </w:r>
      <w:r>
        <w:rPr>
          <w:rFonts w:ascii="Calibri" w:hAnsi="Calibri"/>
          <w:color w:val="525866"/>
          <w:sz w:val="22"/>
        </w:rPr>
        <w:t xml:space="preserve"> New recovery mechanisms being approved across the sector validate PPL’s own regulatory strategy of using riders and formula rates to reduce regulatory lag.</w:t>
      </w:r>
    </w:p>
    <w:p>
      <w:pPr>
        <w:pStyle w:val="ListBullet"/>
        <w:ind w:left="360" w:hanging="360"/>
      </w:pPr>
      <w:r>
        <w:rPr>
          <w:rFonts w:ascii="Calibri" w:hAnsi="Calibri"/>
          <w:b/>
          <w:color w:val="525866"/>
          <w:sz w:val="22"/>
        </w:rPr>
        <w:t>CMS Energy:</w:t>
      </w:r>
      <w:r>
        <w:rPr>
          <w:rFonts w:ascii="Calibri" w:hAnsi="Calibri"/>
          <w:color w:val="525866"/>
          <w:sz w:val="22"/>
        </w:rPr>
        <w:t xml:space="preserve"> Filed an electric rate case in June requesting a $456M increase (10.25% ROE, 51.75% equity ratio). Moved IRP filing to September to incorporate a recent data center agreement. </w:t>
      </w:r>
      <w:r>
        <w:rPr>
          <w:rFonts w:ascii="Calibri" w:hAnsi="Calibri"/>
          <w:b/>
          <w:color w:val="525866"/>
          <w:sz w:val="22"/>
        </w:rPr>
        <w:t>PPL read-through:</w:t>
      </w:r>
      <w:r>
        <w:rPr>
          <w:rFonts w:ascii="Calibri" w:hAnsi="Calibri"/>
          <w:color w:val="525866"/>
          <w:sz w:val="22"/>
        </w:rPr>
        <w:t xml:space="preserve"> CMS’s 10.25% ROE request is at the high end of recent utility filings, suggesting regulators are receptive to higher returns in the current investment environment. PPL’s Kentucky reconsideration decision (expected Q3) may benefit from this constructive backdrop.</w:t>
      </w:r>
    </w:p>
    <w:p>
      <w:pPr>
        <w:pStyle w:val="ListBullet"/>
        <w:ind w:left="360" w:hanging="360"/>
      </w:pPr>
      <w:r>
        <w:rPr>
          <w:rFonts w:ascii="Calibri" w:hAnsi="Calibri"/>
          <w:b/>
          <w:color w:val="525866"/>
          <w:sz w:val="22"/>
        </w:rPr>
        <w:t>Xcel Energy:</w:t>
      </w:r>
      <w:r>
        <w:rPr>
          <w:rFonts w:ascii="Calibri" w:hAnsi="Calibri"/>
          <w:color w:val="525866"/>
          <w:sz w:val="22"/>
        </w:rPr>
        <w:t xml:space="preserve"> Large load tariff approved in Minnesota; filings made in Colorado and Wisconsin; Texas and New Mexico filings expected in Q3. </w:t>
      </w:r>
      <w:r>
        <w:rPr>
          <w:rFonts w:ascii="Calibri" w:hAnsi="Calibri"/>
          <w:b/>
          <w:color w:val="525866"/>
          <w:sz w:val="22"/>
        </w:rPr>
        <w:t>PPL read-through:</w:t>
      </w:r>
      <w:r>
        <w:rPr>
          <w:rFonts w:ascii="Calibri" w:hAnsi="Calibri"/>
          <w:color w:val="525866"/>
          <w:sz w:val="22"/>
        </w:rPr>
        <w:t xml:space="preserve"> Xcel’s multi-state tariff rollout confirms that large load tariff approvals are becoming routine across the sector, reducing regulatory risk for PPL’s own tariff framework.</w:t>
      </w:r>
    </w:p>
    <w:p>
      <w:pPr>
        <w:pStyle w:val="Heading3"/>
      </w:pPr>
      <w:r>
        <w:rPr>
          <w:rFonts w:ascii="Calibri" w:hAnsi="Calibri"/>
          <w:b/>
          <w:color w:val="3B4259"/>
          <w:sz w:val="24"/>
        </w:rPr>
        <w:t>7.5 Load Trends &amp; Weather: Mixed but Underlying Demand Solid (Neutral Read-Through)</w:t>
      </w:r>
    </w:p>
    <w:p>
      <w:r>
        <w:rPr>
          <w:rFonts w:ascii="Calibri" w:hAnsi="Calibri"/>
          <w:b/>
          <w:color w:val="525866"/>
          <w:sz w:val="22"/>
        </w:rPr>
        <w:t xml:space="preserve">Read-Through: </w:t>
      </w:r>
      <w:r>
        <w:rPr>
          <w:rFonts w:ascii="Calibri" w:hAnsi="Calibri"/>
          <w:color w:val="525866"/>
          <w:sz w:val="22"/>
        </w:rPr>
        <w:t xml:space="preserve">Neutral. </w:t>
      </w:r>
      <w:r>
        <w:rPr>
          <w:rFonts w:ascii="Calibri" w:hAnsi="Calibri"/>
          <w:color w:val="525866"/>
          <w:sz w:val="22"/>
        </w:rPr>
        <w:t xml:space="preserve"> Weather was mixed across the sector in Q2 2026 (some peers saw favorable weather, others unfavorable), but underlying weather-adjusted demand growth was broadly positive, driven by industrial and commercial load. PPL’s Q2 is seasonally weak regardless of weather.</w:t>
      </w:r>
    </w:p>
    <w:p>
      <w:pPr>
        <w:pStyle w:val="ListBullet"/>
        <w:ind w:left="360" w:hanging="360"/>
      </w:pPr>
      <w:r>
        <w:rPr>
          <w:rFonts w:ascii="Calibri" w:hAnsi="Calibri"/>
          <w:b/>
          <w:color w:val="525866"/>
          <w:sz w:val="22"/>
        </w:rPr>
        <w:t>AEP:</w:t>
      </w:r>
      <w:r>
        <w:rPr>
          <w:rFonts w:ascii="Calibri" w:hAnsi="Calibri"/>
          <w:color w:val="525866"/>
          <w:sz w:val="22"/>
        </w:rPr>
        <w:t xml:space="preserve"> Strong Q2 retail sales growth — commercial sales up 14.9% in Vertically Integrated Utilities; commercial and industrial sales up 17.4% and 15.0% in T&amp;D Utilities. </w:t>
      </w:r>
      <w:r>
        <w:rPr>
          <w:rFonts w:ascii="Calibri" w:hAnsi="Calibri"/>
          <w:b/>
          <w:color w:val="525866"/>
          <w:sz w:val="22"/>
        </w:rPr>
        <w:t>PPL read-through:</w:t>
      </w:r>
      <w:r>
        <w:rPr>
          <w:rFonts w:ascii="Calibri" w:hAnsi="Calibri"/>
          <w:color w:val="525866"/>
          <w:sz w:val="22"/>
        </w:rPr>
        <w:t xml:space="preserve"> AEP’s commercial/industrial load growth is the strongest in the sector and reflects data center ramp-up in its service territory. PPL’s Pennsylvania and Kentucky territories are experiencing similar dynamics.</w:t>
      </w:r>
    </w:p>
    <w:p>
      <w:pPr>
        <w:pStyle w:val="ListBullet"/>
        <w:ind w:left="360" w:hanging="360"/>
      </w:pPr>
      <w:r>
        <w:rPr>
          <w:rFonts w:ascii="Calibri" w:hAnsi="Calibri"/>
          <w:b/>
          <w:color w:val="525866"/>
          <w:sz w:val="22"/>
        </w:rPr>
        <w:t>FirstEnergy:</w:t>
      </w:r>
      <w:r>
        <w:rPr>
          <w:rFonts w:ascii="Calibri" w:hAnsi="Calibri"/>
          <w:color w:val="525866"/>
          <w:sz w:val="22"/>
        </w:rPr>
        <w:t xml:space="preserve"> Total customer load increased ~2% in Q2 on a weather-adjusted basis; industrial load up over 4%, driven by metals, oil &amp; gas, chemicals, and AI/data center infrastructure build-outs. </w:t>
      </w:r>
      <w:r>
        <w:rPr>
          <w:rFonts w:ascii="Calibri" w:hAnsi="Calibri"/>
          <w:b/>
          <w:color w:val="525866"/>
          <w:sz w:val="22"/>
        </w:rPr>
        <w:t>PPL read-through:</w:t>
      </w:r>
      <w:r>
        <w:rPr>
          <w:rFonts w:ascii="Calibri" w:hAnsi="Calibri"/>
          <w:color w:val="525866"/>
          <w:sz w:val="22"/>
        </w:rPr>
        <w:t xml:space="preserve"> FE’s service territory overlaps with PPL’s Pennsylvania footprint. The 4%+ industrial load growth is a direct positive read-through for PPL’s own volume trends.</w:t>
      </w:r>
    </w:p>
    <w:p>
      <w:pPr>
        <w:pStyle w:val="ListBullet"/>
        <w:ind w:left="360" w:hanging="360"/>
      </w:pPr>
      <w:r>
        <w:rPr>
          <w:rFonts w:ascii="Calibri" w:hAnsi="Calibri"/>
          <w:b/>
          <w:color w:val="525866"/>
          <w:sz w:val="22"/>
        </w:rPr>
        <w:t>Xcel Energy:</w:t>
      </w:r>
      <w:r>
        <w:rPr>
          <w:rFonts w:ascii="Calibri" w:hAnsi="Calibri"/>
          <w:color w:val="525866"/>
          <w:sz w:val="22"/>
        </w:rPr>
        <w:t xml:space="preserve"> Year-to-date weather-adjusted electric sales increased 2.1%; on track for 3% full-year increase. </w:t>
      </w:r>
      <w:r>
        <w:rPr>
          <w:rFonts w:ascii="Calibri" w:hAnsi="Calibri"/>
          <w:b/>
          <w:color w:val="525866"/>
          <w:sz w:val="22"/>
        </w:rPr>
        <w:t>PPL read-through:</w:t>
      </w:r>
      <w:r>
        <w:rPr>
          <w:rFonts w:ascii="Calibri" w:hAnsi="Calibri"/>
          <w:color w:val="525866"/>
          <w:sz w:val="22"/>
        </w:rPr>
        <w:t xml:space="preserve"> Xcel’s 2–3% weather-adjusted growth is consistent with the sector-wide trend of above-trend demand growth driven by electrification and data centers.</w:t>
      </w:r>
    </w:p>
    <w:p>
      <w:pPr>
        <w:pStyle w:val="ListBullet"/>
        <w:ind w:left="360" w:hanging="360"/>
      </w:pPr>
      <w:r>
        <w:rPr>
          <w:rFonts w:ascii="Calibri" w:hAnsi="Calibri"/>
          <w:b/>
          <w:color w:val="525866"/>
          <w:sz w:val="22"/>
        </w:rPr>
        <w:t>CMS Energy:</w:t>
      </w:r>
      <w:r>
        <w:rPr>
          <w:rFonts w:ascii="Calibri" w:hAnsi="Calibri"/>
          <w:color w:val="525866"/>
          <w:sz w:val="22"/>
        </w:rPr>
        <w:t xml:space="preserve"> Primary headwind was storms in H1 2026; unfavorable weather vs. prior year resulted in $0.08 YTD EPS variance. </w:t>
      </w:r>
      <w:r>
        <w:rPr>
          <w:rFonts w:ascii="Calibri" w:hAnsi="Calibri"/>
          <w:b/>
          <w:color w:val="525866"/>
          <w:sz w:val="22"/>
        </w:rPr>
        <w:t>PPL read-through:</w:t>
      </w:r>
      <w:r>
        <w:rPr>
          <w:rFonts w:ascii="Calibri" w:hAnsi="Calibri"/>
          <w:color w:val="525866"/>
          <w:sz w:val="22"/>
        </w:rPr>
        <w:t xml:space="preserve"> CMS’s storm headwind is a cautionary note for PPL’s Rhode Island operations (which also experienced severe winter storms in Q1). However, PPL’s Q1 storm response was strong (99% of customers restored within 48 hours), and Q2 is not a peak storm season.</w:t>
      </w:r>
    </w:p>
    <w:p>
      <w:pPr>
        <w:pStyle w:val="ListBullet"/>
        <w:ind w:left="360" w:hanging="360"/>
      </w:pPr>
      <w:r>
        <w:rPr>
          <w:rFonts w:ascii="Calibri" w:hAnsi="Calibri"/>
          <w:b/>
          <w:color w:val="525866"/>
          <w:sz w:val="22"/>
        </w:rPr>
        <w:t>Entergy:</w:t>
      </w:r>
      <w:r>
        <w:rPr>
          <w:rFonts w:ascii="Calibri" w:hAnsi="Calibri"/>
          <w:color w:val="525866"/>
          <w:sz w:val="22"/>
        </w:rPr>
        <w:t xml:space="preserve"> Q2 weather was close to normal vs. warmer weather in 2025; excluding weather, retail sales growth was positive, driven by 10% industrial sales growth. </w:t>
      </w:r>
      <w:r>
        <w:rPr>
          <w:rFonts w:ascii="Calibri" w:hAnsi="Calibri"/>
          <w:b/>
          <w:color w:val="525866"/>
          <w:sz w:val="22"/>
        </w:rPr>
        <w:t>PPL read-through:</w:t>
      </w:r>
      <w:r>
        <w:rPr>
          <w:rFonts w:ascii="Calibri" w:hAnsi="Calibri"/>
          <w:color w:val="525866"/>
          <w:sz w:val="22"/>
        </w:rPr>
        <w:t xml:space="preserve"> Entergy’s 10% industrial growth (driven by new and expansion projects ramping up) is a positive signal for PPL’s Kentucky industrial load, which is also benefiting from data center and manufacturing expansion.</w:t>
      </w:r>
    </w:p>
    <w:p>
      <w:pPr>
        <w:pStyle w:val="Heading3"/>
      </w:pPr>
      <w:r>
        <w:rPr>
          <w:rFonts w:ascii="Calibri" w:hAnsi="Calibri"/>
          <w:b/>
          <w:color w:val="3B4259"/>
          <w:sz w:val="24"/>
        </w:rPr>
        <w:t>7.6 Financing &amp; Equity: Sector De-Risking Equity Needs (Positive Read-Through for PPL)</w:t>
      </w:r>
    </w:p>
    <w:p>
      <w:r>
        <w:rPr>
          <w:rFonts w:ascii="Calibri" w:hAnsi="Calibri"/>
          <w:b/>
          <w:color w:val="525866"/>
          <w:sz w:val="22"/>
        </w:rPr>
        <w:t xml:space="preserve">Read-Through: </w:t>
      </w:r>
      <w:r>
        <w:rPr>
          <w:rFonts w:ascii="Calibri" w:hAnsi="Calibri"/>
          <w:b/>
          <w:color w:val="30A46C"/>
          <w:sz w:val="22"/>
        </w:rPr>
        <w:t xml:space="preserve">Positive. </w:t>
      </w:r>
      <w:r>
        <w:rPr>
          <w:rFonts w:ascii="Calibri" w:hAnsi="Calibri"/>
          <w:color w:val="525866"/>
          <w:sz w:val="22"/>
        </w:rPr>
        <w:t xml:space="preserve"> Peers are proactively de-risking equity needs through ATM programs, forward sales, and federal financing (DOE loans), validating PPL’s own strategy of using the ATM for its remaining ~$2B equity need. The sector’s ability to fund large capital plans without dilutive equity issuance is a positive signal for PPL’s credit metrics.</w:t>
      </w:r>
    </w:p>
    <w:p>
      <w:pPr>
        <w:pStyle w:val="ListBullet"/>
        <w:ind w:left="360" w:hanging="360"/>
      </w:pPr>
      <w:r>
        <w:rPr>
          <w:rFonts w:ascii="Calibri" w:hAnsi="Calibri"/>
          <w:b/>
          <w:color w:val="525866"/>
          <w:sz w:val="22"/>
        </w:rPr>
        <w:t>AEP:</w:t>
      </w:r>
      <w:r>
        <w:rPr>
          <w:rFonts w:ascii="Calibri" w:hAnsi="Calibri"/>
          <w:color w:val="525866"/>
          <w:sz w:val="22"/>
        </w:rPr>
        <w:t xml:space="preserve"> Secured ~$5B in DOE loans, delivering ~$1.4B in estimated customer benefits. Has line of sight to &gt;$10B in incremental investments. </w:t>
      </w:r>
      <w:r>
        <w:rPr>
          <w:rFonts w:ascii="Calibri" w:hAnsi="Calibri"/>
          <w:b/>
          <w:color w:val="525866"/>
          <w:sz w:val="22"/>
        </w:rPr>
        <w:t>PPL read-through:</w:t>
      </w:r>
      <w:r>
        <w:rPr>
          <w:rFonts w:ascii="Calibri" w:hAnsi="Calibri"/>
          <w:color w:val="525866"/>
          <w:sz w:val="22"/>
        </w:rPr>
        <w:t xml:space="preserve"> DOE loan availability validates the federal financing environment that PPL could access for its own capital plan, particularly for transmission and generation projects.</w:t>
      </w:r>
    </w:p>
    <w:p>
      <w:pPr>
        <w:pStyle w:val="ListBullet"/>
        <w:ind w:left="360" w:hanging="360"/>
      </w:pPr>
      <w:r>
        <w:rPr>
          <w:rFonts w:ascii="Calibri" w:hAnsi="Calibri"/>
          <w:b/>
          <w:color w:val="525866"/>
          <w:sz w:val="22"/>
        </w:rPr>
        <w:t>Duke Energy:</w:t>
      </w:r>
      <w:r>
        <w:rPr>
          <w:rFonts w:ascii="Calibri" w:hAnsi="Calibri"/>
          <w:color w:val="525866"/>
          <w:sz w:val="22"/>
        </w:rPr>
        <w:t xml:space="preserve"> Priced $600M under ATM program YTD, settling end of 2027. “Taking a proactive approach to equity funding, locking in attractive pricing today to de-risk future equity needs.” </w:t>
      </w:r>
      <w:r>
        <w:rPr>
          <w:rFonts w:ascii="Calibri" w:hAnsi="Calibri"/>
          <w:b/>
          <w:color w:val="525866"/>
          <w:sz w:val="22"/>
        </w:rPr>
        <w:t>PPL read-through:</w:t>
      </w:r>
      <w:r>
        <w:rPr>
          <w:rFonts w:ascii="Calibri" w:hAnsi="Calibri"/>
          <w:color w:val="525866"/>
          <w:sz w:val="22"/>
        </w:rPr>
        <w:t xml:space="preserve"> Duke’s ATM strategy mirrors PPL’s own approach. PPL has already de-risked ~2/3 of its total equity need via the February 2026 equity units offering; the remaining ~$2B via ATM is consistent with sector practice.</w:t>
      </w:r>
    </w:p>
    <w:p>
      <w:pPr>
        <w:pStyle w:val="ListBullet"/>
        <w:ind w:left="360" w:hanging="360"/>
      </w:pPr>
      <w:r>
        <w:rPr>
          <w:rFonts w:ascii="Calibri" w:hAnsi="Calibri"/>
          <w:b/>
          <w:color w:val="525866"/>
          <w:sz w:val="22"/>
        </w:rPr>
        <w:t>Exelon:</w:t>
      </w:r>
      <w:r>
        <w:rPr>
          <w:rFonts w:ascii="Calibri" w:hAnsi="Calibri"/>
          <w:color w:val="525866"/>
          <w:sz w:val="22"/>
        </w:rPr>
        <w:t xml:space="preserve"> Has priced ~37% of planned equity needs through 2029 via forward contracts under ATM, covering all of 2026 and half of 2027 needs. </w:t>
      </w:r>
      <w:r>
        <w:rPr>
          <w:rFonts w:ascii="Calibri" w:hAnsi="Calibri"/>
          <w:b/>
          <w:color w:val="525866"/>
          <w:sz w:val="22"/>
        </w:rPr>
        <w:t>PPL read-through:</w:t>
      </w:r>
      <w:r>
        <w:rPr>
          <w:rFonts w:ascii="Calibri" w:hAnsi="Calibri"/>
          <w:color w:val="525866"/>
          <w:sz w:val="22"/>
        </w:rPr>
        <w:t xml:space="preserve"> Exelon’s systematic ATM approach validates PPL’s own equity de-risking strategy. Both companies are using forward sales to lock in pricing without immediate dilution.</w:t>
      </w:r>
    </w:p>
    <w:p>
      <w:pPr>
        <w:pStyle w:val="ListBullet"/>
        <w:ind w:left="360" w:hanging="360"/>
      </w:pPr>
      <w:r>
        <w:rPr>
          <w:rFonts w:ascii="Calibri" w:hAnsi="Calibri"/>
          <w:b/>
          <w:color w:val="525866"/>
          <w:sz w:val="22"/>
        </w:rPr>
        <w:t>Entergy:</w:t>
      </w:r>
      <w:r>
        <w:rPr>
          <w:rFonts w:ascii="Calibri" w:hAnsi="Calibri"/>
          <w:color w:val="525866"/>
          <w:sz w:val="22"/>
        </w:rPr>
        <w:t xml:space="preserve"> ~60% of five-year equity plan is contracted, satisfying needs into 2028. </w:t>
      </w:r>
      <w:r>
        <w:rPr>
          <w:rFonts w:ascii="Calibri" w:hAnsi="Calibri"/>
          <w:b/>
          <w:color w:val="525866"/>
          <w:sz w:val="22"/>
        </w:rPr>
        <w:t>PPL read-through:</w:t>
      </w:r>
      <w:r>
        <w:rPr>
          <w:rFonts w:ascii="Calibri" w:hAnsi="Calibri"/>
          <w:color w:val="525866"/>
          <w:sz w:val="22"/>
        </w:rPr>
        <w:t xml:space="preserve"> PPL’s ~67% de-risked equity position (via February 2026 equity units) is ahead of Entergy’s 60%, suggesting PPL is well-positioned on the financing front.</w:t>
      </w:r>
    </w:p>
    <w:p>
      <w:pPr>
        <w:pStyle w:val="ListBullet"/>
        <w:ind w:left="360" w:hanging="360"/>
      </w:pPr>
      <w:r>
        <w:rPr>
          <w:rFonts w:ascii="Calibri" w:hAnsi="Calibri"/>
          <w:b/>
          <w:color w:val="525866"/>
          <w:sz w:val="22"/>
        </w:rPr>
        <w:t>PSEG:</w:t>
      </w:r>
      <w:r>
        <w:rPr>
          <w:rFonts w:ascii="Calibri" w:hAnsi="Calibri"/>
          <w:color w:val="525866"/>
          <w:sz w:val="22"/>
        </w:rPr>
        <w:t xml:space="preserve"> Five-year capital program of $24–$28B funded without new equity issuance or asset sales. </w:t>
      </w:r>
      <w:r>
        <w:rPr>
          <w:rFonts w:ascii="Calibri" w:hAnsi="Calibri"/>
          <w:b/>
          <w:color w:val="525866"/>
          <w:sz w:val="22"/>
        </w:rPr>
        <w:t>PPL read-through:</w:t>
      </w:r>
      <w:r>
        <w:rPr>
          <w:rFonts w:ascii="Calibri" w:hAnsi="Calibri"/>
          <w:color w:val="525866"/>
          <w:sz w:val="22"/>
        </w:rPr>
        <w:t xml:space="preserve"> PSEG’s no-equity-needed posture is the most favorable in the sector, but PPL’s remaining ATM need is modest relative to its capital plan and is already partially de-risked.</w:t>
      </w:r>
    </w:p>
    <w:p>
      <w:pPr>
        <w:pStyle w:val="Heading3"/>
      </w:pPr>
      <w:r>
        <w:rPr>
          <w:rFonts w:ascii="Calibri" w:hAnsi="Calibri"/>
          <w:b/>
          <w:color w:val="3B4259"/>
          <w:sz w:val="24"/>
        </w:rPr>
        <w:t>7.7 Peer Commentary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Report Date</w:t>
            </w:r>
          </w:p>
        </w:tc>
        <w:tc>
          <w:tcPr>
            <w:tcW w:type="dxa" w:w="1440"/>
            <w:shd w:val="clear" w:color="auto" w:fill="3B4259"/>
          </w:tcPr>
          <w:p>
            <w:r>
              <w:rPr>
                <w:rFonts w:ascii="Calibri" w:hAnsi="Calibri"/>
                <w:b/>
                <w:color w:val="FFFFFF"/>
                <w:sz w:val="22"/>
              </w:rPr>
              <w:t>FY2026 Guidance</w:t>
            </w:r>
          </w:p>
        </w:tc>
        <w:tc>
          <w:tcPr>
            <w:tcW w:type="dxa" w:w="1440"/>
            <w:shd w:val="clear" w:color="auto" w:fill="3B4259"/>
          </w:tcPr>
          <w:p>
            <w:r>
              <w:rPr>
                <w:rFonts w:ascii="Calibri" w:hAnsi="Calibri"/>
                <w:b/>
                <w:color w:val="FFFFFF"/>
                <w:sz w:val="22"/>
              </w:rPr>
              <w:t>Data Center Pipeline</w:t>
            </w:r>
          </w:p>
        </w:tc>
        <w:tc>
          <w:tcPr>
            <w:tcW w:type="dxa" w:w="1440"/>
            <w:shd w:val="clear" w:color="auto" w:fill="3B4259"/>
          </w:tcPr>
          <w:p>
            <w:r>
              <w:rPr>
                <w:rFonts w:ascii="Calibri" w:hAnsi="Calibri"/>
                <w:b/>
                <w:color w:val="FFFFFF"/>
                <w:sz w:val="22"/>
              </w:rPr>
              <w:t>Key PPL Read-Through</w:t>
            </w:r>
          </w:p>
        </w:tc>
        <w:tc>
          <w:tcPr>
            <w:tcW w:type="dxa" w:w="1440"/>
            <w:shd w:val="clear" w:color="auto" w:fill="3B4259"/>
          </w:tcPr>
          <w:p>
            <w:r>
              <w:rPr>
                <w:rFonts w:ascii="Calibri" w:hAnsi="Calibri"/>
                <w:b/>
                <w:color w:val="FFFFFF"/>
                <w:sz w:val="22"/>
              </w:rPr>
              <w:t>Signal</w:t>
            </w:r>
          </w:p>
        </w:tc>
      </w:tr>
      <w:tr>
        <w:tc>
          <w:tcPr>
            <w:tcW w:type="dxa" w:w="1440"/>
          </w:tcPr>
          <w:p>
            <w:r>
              <w:rPr>
                <w:rFonts w:ascii="Calibri" w:hAnsi="Calibri"/>
                <w:sz w:val="22"/>
              </w:rPr>
              <w:t>AEP</w:t>
            </w:r>
          </w:p>
        </w:tc>
        <w:tc>
          <w:tcPr>
            <w:tcW w:type="dxa" w:w="1440"/>
          </w:tcPr>
          <w:p>
            <w:r>
              <w:rPr>
                <w:rFonts w:ascii="Calibri" w:hAnsi="Calibri"/>
                <w:sz w:val="22"/>
              </w:rPr>
              <w:t>Jul 30</w:t>
            </w:r>
          </w:p>
        </w:tc>
        <w:tc>
          <w:tcPr>
            <w:tcW w:type="dxa" w:w="1440"/>
          </w:tcPr>
          <w:p>
            <w:r>
              <w:rPr>
                <w:rFonts w:ascii="Calibri" w:hAnsi="Calibri"/>
                <w:sz w:val="22"/>
              </w:rPr>
              <w:t>Raised to $6.25–$6.55</w:t>
            </w:r>
          </w:p>
        </w:tc>
        <w:tc>
          <w:tcPr>
            <w:tcW w:type="dxa" w:w="1440"/>
          </w:tcPr>
          <w:p>
            <w:r>
              <w:rPr>
                <w:rFonts w:ascii="Calibri" w:hAnsi="Calibri"/>
                <w:sz w:val="22"/>
              </w:rPr>
              <w:t>69 GW contracted; +6 GW in Q2</w:t>
            </w:r>
          </w:p>
        </w:tc>
        <w:tc>
          <w:tcPr>
            <w:tcW w:type="dxa" w:w="1440"/>
          </w:tcPr>
          <w:p>
            <w:r>
              <w:rPr>
                <w:rFonts w:ascii="Calibri" w:hAnsi="Calibri"/>
                <w:sz w:val="22"/>
              </w:rPr>
              <w:t>Guidance raise validates PPL’s reaffirmation; turbine reservation pace validates Blackstone JV strategy</w:t>
            </w:r>
          </w:p>
        </w:tc>
        <w:tc>
          <w:tcPr>
            <w:tcW w:type="dxa" w:w="1440"/>
          </w:tcPr>
          <w:p>
            <w:r>
              <w:rPr>
                <w:rFonts w:ascii="Calibri" w:hAnsi="Calibri"/>
                <w:b/>
                <w:color w:val="30A46C"/>
                <w:sz w:val="22"/>
              </w:rPr>
              <w:t>Positive</w:t>
            </w:r>
          </w:p>
        </w:tc>
      </w:tr>
      <w:tr>
        <w:tc>
          <w:tcPr>
            <w:tcW w:type="dxa" w:w="1440"/>
          </w:tcPr>
          <w:p>
            <w:r>
              <w:rPr>
                <w:rFonts w:ascii="Calibri" w:hAnsi="Calibri"/>
                <w:sz w:val="22"/>
              </w:rPr>
              <w:t>CMS</w:t>
            </w:r>
          </w:p>
        </w:tc>
        <w:tc>
          <w:tcPr>
            <w:tcW w:type="dxa" w:w="1440"/>
          </w:tcPr>
          <w:p>
            <w:r>
              <w:rPr>
                <w:rFonts w:ascii="Calibri" w:hAnsi="Calibri"/>
                <w:sz w:val="22"/>
              </w:rPr>
              <w:t>Jul 28</w:t>
            </w:r>
          </w:p>
        </w:tc>
        <w:tc>
          <w:tcPr>
            <w:tcW w:type="dxa" w:w="1440"/>
          </w:tcPr>
          <w:p>
            <w:r>
              <w:rPr>
                <w:rFonts w:ascii="Calibri" w:hAnsi="Calibri"/>
                <w:sz w:val="22"/>
              </w:rPr>
              <w:t>Reaffirmed; high-end confidence</w:t>
            </w:r>
          </w:p>
        </w:tc>
        <w:tc>
          <w:tcPr>
            <w:tcW w:type="dxa" w:w="1440"/>
          </w:tcPr>
          <w:p>
            <w:r>
              <w:rPr>
                <w:rFonts w:ascii="Calibri" w:hAnsi="Calibri"/>
                <w:sz w:val="22"/>
              </w:rPr>
              <w:t>Large load tariff; $7.50/mo benefit per GW</w:t>
            </w:r>
          </w:p>
        </w:tc>
        <w:tc>
          <w:tcPr>
            <w:tcW w:type="dxa" w:w="1440"/>
          </w:tcPr>
          <w:p>
            <w:r>
              <w:rPr>
                <w:rFonts w:ascii="Calibri" w:hAnsi="Calibri"/>
                <w:sz w:val="22"/>
              </w:rPr>
              <w:t>Quantified customer benefit validates PPL’s affordability messaging</w:t>
            </w:r>
          </w:p>
        </w:tc>
        <w:tc>
          <w:tcPr>
            <w:tcW w:type="dxa" w:w="1440"/>
          </w:tcPr>
          <w:p>
            <w:r>
              <w:rPr>
                <w:rFonts w:ascii="Calibri" w:hAnsi="Calibri"/>
                <w:b/>
                <w:color w:val="30A46C"/>
                <w:sz w:val="22"/>
              </w:rPr>
              <w:t>Positive</w:t>
            </w:r>
          </w:p>
        </w:tc>
      </w:tr>
      <w:tr>
        <w:tc>
          <w:tcPr>
            <w:tcW w:type="dxa" w:w="1440"/>
          </w:tcPr>
          <w:p>
            <w:r>
              <w:rPr>
                <w:rFonts w:ascii="Calibri" w:hAnsi="Calibri"/>
                <w:sz w:val="22"/>
              </w:rPr>
              <w:t>Dominion</w:t>
            </w:r>
          </w:p>
        </w:tc>
        <w:tc>
          <w:tcPr>
            <w:tcW w:type="dxa" w:w="1440"/>
          </w:tcPr>
          <w:p>
            <w:r>
              <w:rPr>
                <w:rFonts w:ascii="Calibri" w:hAnsi="Calibri"/>
                <w:sz w:val="22"/>
              </w:rPr>
              <w:t>Jul 31</w:t>
            </w:r>
          </w:p>
        </w:tc>
        <w:tc>
          <w:tcPr>
            <w:tcW w:type="dxa" w:w="1440"/>
          </w:tcPr>
          <w:p>
            <w:r>
              <w:rPr>
                <w:rFonts w:ascii="Calibri" w:hAnsi="Calibri"/>
                <w:sz w:val="22"/>
              </w:rPr>
              <w:t>Reaffirmed</w:t>
            </w:r>
          </w:p>
        </w:tc>
        <w:tc>
          <w:tcPr>
            <w:tcW w:type="dxa" w:w="1440"/>
          </w:tcPr>
          <w:p>
            <w:r>
              <w:rPr>
                <w:rFonts w:ascii="Calibri" w:hAnsi="Calibri"/>
                <w:sz w:val="22"/>
              </w:rPr>
              <w:t>53 GW pipeline; 12 GW contracted; record peak demand</w:t>
            </w:r>
          </w:p>
        </w:tc>
        <w:tc>
          <w:tcPr>
            <w:tcW w:type="dxa" w:w="1440"/>
          </w:tcPr>
          <w:p>
            <w:r>
              <w:rPr>
                <w:rFonts w:ascii="Calibri" w:hAnsi="Calibri"/>
                <w:sz w:val="22"/>
              </w:rPr>
              <w:t>Record peak demand in adjacent territory validates PA data center load materialization</w:t>
            </w:r>
          </w:p>
        </w:tc>
        <w:tc>
          <w:tcPr>
            <w:tcW w:type="dxa" w:w="1440"/>
          </w:tcPr>
          <w:p>
            <w:r>
              <w:rPr>
                <w:rFonts w:ascii="Calibri" w:hAnsi="Calibri"/>
                <w:b/>
                <w:color w:val="30A46C"/>
                <w:sz w:val="22"/>
              </w:rPr>
              <w:t>Positive</w:t>
            </w:r>
          </w:p>
        </w:tc>
      </w:tr>
      <w:tr>
        <w:tc>
          <w:tcPr>
            <w:tcW w:type="dxa" w:w="1440"/>
          </w:tcPr>
          <w:p>
            <w:r>
              <w:rPr>
                <w:rFonts w:ascii="Calibri" w:hAnsi="Calibri"/>
                <w:sz w:val="22"/>
              </w:rPr>
              <w:t>DTE</w:t>
            </w:r>
          </w:p>
        </w:tc>
        <w:tc>
          <w:tcPr>
            <w:tcW w:type="dxa" w:w="1440"/>
          </w:tcPr>
          <w:p>
            <w:r>
              <w:rPr>
                <w:rFonts w:ascii="Calibri" w:hAnsi="Calibri"/>
                <w:sz w:val="22"/>
              </w:rPr>
              <w:t>Jul 28</w:t>
            </w:r>
          </w:p>
        </w:tc>
        <w:tc>
          <w:tcPr>
            <w:tcW w:type="dxa" w:w="1440"/>
          </w:tcPr>
          <w:p>
            <w:r>
              <w:rPr>
                <w:rFonts w:ascii="Calibri" w:hAnsi="Calibri"/>
                <w:sz w:val="22"/>
              </w:rPr>
              <w:t>Reaffirmed; high-end confidence</w:t>
            </w:r>
          </w:p>
        </w:tc>
        <w:tc>
          <w:tcPr>
            <w:tcW w:type="dxa" w:w="1440"/>
          </w:tcPr>
          <w:p>
            <w:r>
              <w:rPr>
                <w:rFonts w:ascii="Calibri" w:hAnsi="Calibri"/>
                <w:sz w:val="22"/>
              </w:rPr>
              <w:t>2.4 GW executed; 5–6 GW pipeline</w:t>
            </w:r>
          </w:p>
        </w:tc>
        <w:tc>
          <w:tcPr>
            <w:tcW w:type="dxa" w:w="1440"/>
          </w:tcPr>
          <w:p>
            <w:r>
              <w:rPr>
                <w:rFonts w:ascii="Calibri" w:hAnsi="Calibri"/>
                <w:sz w:val="22"/>
              </w:rPr>
              <w:t>Closest analog to Blackstone JV — single agreement moved growth to top end of range</w:t>
            </w:r>
          </w:p>
        </w:tc>
        <w:tc>
          <w:tcPr>
            <w:tcW w:type="dxa" w:w="1440"/>
          </w:tcPr>
          <w:p>
            <w:r>
              <w:rPr>
                <w:rFonts w:ascii="Calibri" w:hAnsi="Calibri"/>
                <w:b/>
                <w:color w:val="30A46C"/>
                <w:sz w:val="22"/>
              </w:rPr>
              <w:t>Positive</w:t>
            </w:r>
          </w:p>
        </w:tc>
      </w:tr>
      <w:tr>
        <w:tc>
          <w:tcPr>
            <w:tcW w:type="dxa" w:w="1440"/>
          </w:tcPr>
          <w:p>
            <w:r>
              <w:rPr>
                <w:rFonts w:ascii="Calibri" w:hAnsi="Calibri"/>
                <w:sz w:val="22"/>
              </w:rPr>
              <w:t>Duke</w:t>
            </w:r>
          </w:p>
        </w:tc>
        <w:tc>
          <w:tcPr>
            <w:tcW w:type="dxa" w:w="1440"/>
          </w:tcPr>
          <w:p>
            <w:r>
              <w:rPr>
                <w:rFonts w:ascii="Calibri" w:hAnsi="Calibri"/>
                <w:sz w:val="22"/>
              </w:rPr>
              <w:t>Aug 3–4</w:t>
            </w:r>
          </w:p>
        </w:tc>
        <w:tc>
          <w:tcPr>
            <w:tcW w:type="dxa" w:w="1440"/>
          </w:tcPr>
          <w:p>
            <w:r>
              <w:rPr>
                <w:rFonts w:ascii="Calibri" w:hAnsi="Calibri"/>
                <w:sz w:val="22"/>
              </w:rPr>
              <w:t>Reaffirmed; top-half confidence from 2028</w:t>
            </w:r>
          </w:p>
        </w:tc>
        <w:tc>
          <w:tcPr>
            <w:tcW w:type="dxa" w:w="1440"/>
          </w:tcPr>
          <w:p>
            <w:r>
              <w:rPr>
                <w:rFonts w:ascii="Calibri" w:hAnsi="Calibri"/>
                <w:sz w:val="22"/>
              </w:rPr>
              <w:t>7.8 GW ESAs; 15.4 GW pipeline</w:t>
            </w:r>
          </w:p>
        </w:tc>
        <w:tc>
          <w:tcPr>
            <w:tcW w:type="dxa" w:w="1440"/>
          </w:tcPr>
          <w:p>
            <w:r>
              <w:rPr>
                <w:rFonts w:ascii="Calibri" w:hAnsi="Calibri"/>
                <w:sz w:val="22"/>
              </w:rPr>
              <w:t>Pipeline conversion timeline (H1 2027) is instructive for PPL’s 28.3 GW PA pipeline</w:t>
            </w:r>
          </w:p>
        </w:tc>
        <w:tc>
          <w:tcPr>
            <w:tcW w:type="dxa" w:w="1440"/>
          </w:tcPr>
          <w:p>
            <w:r>
              <w:rPr>
                <w:rFonts w:ascii="Calibri" w:hAnsi="Calibri"/>
                <w:b/>
                <w:color w:val="30A46C"/>
                <w:sz w:val="22"/>
              </w:rPr>
              <w:t>Positive</w:t>
            </w:r>
          </w:p>
        </w:tc>
      </w:tr>
      <w:tr>
        <w:tc>
          <w:tcPr>
            <w:tcW w:type="dxa" w:w="1440"/>
          </w:tcPr>
          <w:p>
            <w:r>
              <w:rPr>
                <w:rFonts w:ascii="Calibri" w:hAnsi="Calibri"/>
                <w:sz w:val="22"/>
              </w:rPr>
              <w:t>Entergy</w:t>
            </w:r>
          </w:p>
        </w:tc>
        <w:tc>
          <w:tcPr>
            <w:tcW w:type="dxa" w:w="1440"/>
          </w:tcPr>
          <w:p>
            <w:r>
              <w:rPr>
                <w:rFonts w:ascii="Calibri" w:hAnsi="Calibri"/>
                <w:sz w:val="22"/>
              </w:rPr>
              <w:t>Jul 29</w:t>
            </w:r>
          </w:p>
        </w:tc>
        <w:tc>
          <w:tcPr>
            <w:tcW w:type="dxa" w:w="1440"/>
          </w:tcPr>
          <w:p>
            <w:r>
              <w:rPr>
                <w:rFonts w:ascii="Calibri" w:hAnsi="Calibri"/>
                <w:sz w:val="22"/>
              </w:rPr>
              <w:t>Reaffirmed</w:t>
            </w:r>
          </w:p>
        </w:tc>
        <w:tc>
          <w:tcPr>
            <w:tcW w:type="dxa" w:w="1440"/>
          </w:tcPr>
          <w:p>
            <w:r>
              <w:rPr>
                <w:rFonts w:ascii="Calibri" w:hAnsi="Calibri"/>
                <w:sz w:val="22"/>
              </w:rPr>
              <w:t>7–12 GW pipeline; Fair Share Plus pledge</w:t>
            </w:r>
          </w:p>
        </w:tc>
        <w:tc>
          <w:tcPr>
            <w:tcW w:type="dxa" w:w="1440"/>
          </w:tcPr>
          <w:p>
            <w:r>
              <w:rPr>
                <w:rFonts w:ascii="Calibri" w:hAnsi="Calibri"/>
                <w:sz w:val="22"/>
              </w:rPr>
              <w:t>$7B customer benefit validates PPL’s tariff structure; constructive regulatory backdrop</w:t>
            </w:r>
          </w:p>
        </w:tc>
        <w:tc>
          <w:tcPr>
            <w:tcW w:type="dxa" w:w="1440"/>
          </w:tcPr>
          <w:p>
            <w:r>
              <w:rPr>
                <w:rFonts w:ascii="Calibri" w:hAnsi="Calibri"/>
                <w:b/>
                <w:color w:val="30A46C"/>
                <w:sz w:val="22"/>
              </w:rPr>
              <w:t>Positive</w:t>
            </w:r>
          </w:p>
        </w:tc>
      </w:tr>
      <w:tr>
        <w:tc>
          <w:tcPr>
            <w:tcW w:type="dxa" w:w="1440"/>
          </w:tcPr>
          <w:p>
            <w:r>
              <w:rPr>
                <w:rFonts w:ascii="Calibri" w:hAnsi="Calibri"/>
                <w:sz w:val="22"/>
              </w:rPr>
              <w:t>Exelon</w:t>
            </w:r>
          </w:p>
        </w:tc>
        <w:tc>
          <w:tcPr>
            <w:tcW w:type="dxa" w:w="1440"/>
          </w:tcPr>
          <w:p>
            <w:r>
              <w:rPr>
                <w:rFonts w:ascii="Calibri" w:hAnsi="Calibri"/>
                <w:sz w:val="22"/>
              </w:rPr>
              <w:t>Jul 30</w:t>
            </w:r>
          </w:p>
        </w:tc>
        <w:tc>
          <w:tcPr>
            <w:tcW w:type="dxa" w:w="1440"/>
          </w:tcPr>
          <w:p>
            <w:r>
              <w:rPr>
                <w:rFonts w:ascii="Calibri" w:hAnsi="Calibri"/>
                <w:sz w:val="22"/>
              </w:rPr>
              <w:t>Reaffirmed; midpoint or better</w:t>
            </w:r>
          </w:p>
        </w:tc>
        <w:tc>
          <w:tcPr>
            <w:tcW w:type="dxa" w:w="1440"/>
          </w:tcPr>
          <w:p>
            <w:r>
              <w:rPr>
                <w:rFonts w:ascii="Calibri" w:hAnsi="Calibri"/>
                <w:sz w:val="22"/>
              </w:rPr>
              <w:t>36 GW (rationalized from 43 GW); PJM record 168 GW peak</w:t>
            </w:r>
          </w:p>
        </w:tc>
        <w:tc>
          <w:tcPr>
            <w:tcW w:type="dxa" w:w="1440"/>
          </w:tcPr>
          <w:p>
            <w:r>
              <w:rPr>
                <w:rFonts w:ascii="Calibri" w:hAnsi="Calibri"/>
                <w:sz w:val="22"/>
              </w:rPr>
              <w:t>PJM supply tightness validates PA transmission investment; pipeline rationalization is a watch item</w:t>
            </w:r>
          </w:p>
        </w:tc>
        <w:tc>
          <w:tcPr>
            <w:tcW w:type="dxa" w:w="1440"/>
          </w:tcPr>
          <w:p>
            <w:r>
              <w:rPr>
                <w:rFonts w:ascii="Calibri" w:hAnsi="Calibri"/>
                <w:sz w:val="22"/>
              </w:rPr>
              <w:t>Mixed</w:t>
            </w:r>
          </w:p>
        </w:tc>
      </w:tr>
      <w:tr>
        <w:tc>
          <w:tcPr>
            <w:tcW w:type="dxa" w:w="1440"/>
          </w:tcPr>
          <w:p>
            <w:r>
              <w:rPr>
                <w:rFonts w:ascii="Calibri" w:hAnsi="Calibri"/>
                <w:sz w:val="22"/>
              </w:rPr>
              <w:t>FirstEnergy</w:t>
            </w:r>
          </w:p>
        </w:tc>
        <w:tc>
          <w:tcPr>
            <w:tcW w:type="dxa" w:w="1440"/>
          </w:tcPr>
          <w:p>
            <w:r>
              <w:rPr>
                <w:rFonts w:ascii="Calibri" w:hAnsi="Calibri"/>
                <w:sz w:val="22"/>
              </w:rPr>
              <w:t>Jul 28–29</w:t>
            </w:r>
          </w:p>
        </w:tc>
        <w:tc>
          <w:tcPr>
            <w:tcW w:type="dxa" w:w="1440"/>
          </w:tcPr>
          <w:p>
            <w:r>
              <w:rPr>
                <w:rFonts w:ascii="Calibri" w:hAnsi="Calibri"/>
                <w:sz w:val="22"/>
              </w:rPr>
              <w:t>Reaffirmed; near top-end 6–8%</w:t>
            </w:r>
          </w:p>
        </w:tc>
        <w:tc>
          <w:tcPr>
            <w:tcW w:type="dxa" w:w="1440"/>
          </w:tcPr>
          <w:p>
            <w:r>
              <w:rPr>
                <w:rFonts w:ascii="Calibri" w:hAnsi="Calibri"/>
                <w:sz w:val="22"/>
              </w:rPr>
              <w:t>25 GW (+30% vs. Q1); 6.4 GW contracted</w:t>
            </w:r>
          </w:p>
        </w:tc>
        <w:tc>
          <w:tcPr>
            <w:tcW w:type="dxa" w:w="1440"/>
          </w:tcPr>
          <w:p>
            <w:r>
              <w:rPr>
                <w:rFonts w:ascii="Calibri" w:hAnsi="Calibri"/>
                <w:sz w:val="22"/>
              </w:rPr>
              <w:t>Overlapping PA territory; 4%+ industrial load growth is direct positive read-through</w:t>
            </w:r>
          </w:p>
        </w:tc>
        <w:tc>
          <w:tcPr>
            <w:tcW w:type="dxa" w:w="1440"/>
          </w:tcPr>
          <w:p>
            <w:r>
              <w:rPr>
                <w:rFonts w:ascii="Calibri" w:hAnsi="Calibri"/>
                <w:b/>
                <w:color w:val="30A46C"/>
                <w:sz w:val="22"/>
              </w:rPr>
              <w:t>Positive</w:t>
            </w:r>
          </w:p>
        </w:tc>
      </w:tr>
      <w:tr>
        <w:tc>
          <w:tcPr>
            <w:tcW w:type="dxa" w:w="1440"/>
          </w:tcPr>
          <w:p>
            <w:r>
              <w:rPr>
                <w:rFonts w:ascii="Calibri" w:hAnsi="Calibri"/>
                <w:sz w:val="22"/>
              </w:rPr>
              <w:t>PSEG</w:t>
            </w:r>
          </w:p>
        </w:tc>
        <w:tc>
          <w:tcPr>
            <w:tcW w:type="dxa" w:w="1440"/>
          </w:tcPr>
          <w:p>
            <w:r>
              <w:rPr>
                <w:rFonts w:ascii="Calibri" w:hAnsi="Calibri"/>
                <w:sz w:val="22"/>
              </w:rPr>
              <w:t>Aug 4</w:t>
            </w:r>
          </w:p>
        </w:tc>
        <w:tc>
          <w:tcPr>
            <w:tcW w:type="dxa" w:w="1440"/>
          </w:tcPr>
          <w:p>
            <w:r>
              <w:rPr>
                <w:rFonts w:ascii="Calibri" w:hAnsi="Calibri"/>
                <w:sz w:val="22"/>
              </w:rPr>
              <w:t>Reaffirmed; 6–8% through 2030</w:t>
            </w:r>
          </w:p>
        </w:tc>
        <w:tc>
          <w:tcPr>
            <w:tcW w:type="dxa" w:w="1440"/>
          </w:tcPr>
          <w:p>
            <w:r>
              <w:rPr>
                <w:rFonts w:ascii="Calibri" w:hAnsi="Calibri"/>
                <w:sz w:val="22"/>
              </w:rPr>
              <w:t>Continued interest; no inflections observed</w:t>
            </w:r>
          </w:p>
        </w:tc>
        <w:tc>
          <w:tcPr>
            <w:tcW w:type="dxa" w:w="1440"/>
          </w:tcPr>
          <w:p>
            <w:r>
              <w:rPr>
                <w:rFonts w:ascii="Calibri" w:hAnsi="Calibri"/>
                <w:sz w:val="22"/>
              </w:rPr>
              <w:t>No-equity-needed posture; NJ rate case filing signals active regulatory calendar</w:t>
            </w:r>
          </w:p>
        </w:tc>
        <w:tc>
          <w:tcPr>
            <w:tcW w:type="dxa" w:w="1440"/>
          </w:tcPr>
          <w:p>
            <w:r>
              <w:rPr>
                <w:rFonts w:ascii="Calibri" w:hAnsi="Calibri"/>
                <w:sz w:val="22"/>
              </w:rPr>
              <w:t>Neutral</w:t>
            </w:r>
          </w:p>
        </w:tc>
      </w:tr>
      <w:tr>
        <w:tc>
          <w:tcPr>
            <w:tcW w:type="dxa" w:w="1440"/>
          </w:tcPr>
          <w:p>
            <w:r>
              <w:rPr>
                <w:rFonts w:ascii="Calibri" w:hAnsi="Calibri"/>
                <w:sz w:val="22"/>
              </w:rPr>
              <w:t>Xcel</w:t>
            </w:r>
          </w:p>
        </w:tc>
        <w:tc>
          <w:tcPr>
            <w:tcW w:type="dxa" w:w="1440"/>
          </w:tcPr>
          <w:p>
            <w:r>
              <w:rPr>
                <w:rFonts w:ascii="Calibri" w:hAnsi="Calibri"/>
                <w:sz w:val="22"/>
              </w:rPr>
              <w:t>Jul 29–30</w:t>
            </w:r>
          </w:p>
        </w:tc>
        <w:tc>
          <w:tcPr>
            <w:tcW w:type="dxa" w:w="1440"/>
          </w:tcPr>
          <w:p>
            <w:r>
              <w:rPr>
                <w:rFonts w:ascii="Calibri" w:hAnsi="Calibri"/>
                <w:sz w:val="22"/>
              </w:rPr>
              <w:t>Reaffirmed; 9%+ EPS growth through 2030</w:t>
            </w:r>
          </w:p>
        </w:tc>
        <w:tc>
          <w:tcPr>
            <w:tcW w:type="dxa" w:w="1440"/>
          </w:tcPr>
          <w:p>
            <w:r>
              <w:rPr>
                <w:rFonts w:ascii="Calibri" w:hAnsi="Calibri"/>
                <w:sz w:val="22"/>
              </w:rPr>
              <w:t>2 GW in operation/ESA; +4 GW by year-end 2027</w:t>
            </w:r>
          </w:p>
        </w:tc>
        <w:tc>
          <w:tcPr>
            <w:tcW w:type="dxa" w:w="1440"/>
          </w:tcPr>
          <w:p>
            <w:r>
              <w:rPr>
                <w:rFonts w:ascii="Calibri" w:hAnsi="Calibri"/>
                <w:sz w:val="22"/>
              </w:rPr>
              <w:t>9%+ growth guidance sets high bar; multi-state tariff approvals validate PPL’s framework</w:t>
            </w:r>
          </w:p>
        </w:tc>
        <w:tc>
          <w:tcPr>
            <w:tcW w:type="dxa" w:w="1440"/>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Strongly positive for PPL heading into Q2 2026 results. The sector-wide pattern of guidance reaffirmations/raises, accelerating data center pipeline growth, constructive regulatory outcomes, and proactive equity de-risking all validate PPL’s strategic positioning. The single cautionary note is Exelon’s pipeline rationalization (43 GW → 36 GW after filtering speculative projects), which is a watch item for PPL’s own 28.3 GW Pennsylvania pipeline — though PPL’s ESA structure with prepayments and minimum load obligations already provides a similar filter. The DTE analog (single large data center agreement moving growth to the top end of the range) is the most important read-through for the Blackstone JV catalyst.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one insider transaction was recorded in the period since the Q1 2026 earnings date — a 10b5-1 planned sale by a subsidiary president. </w:t>
      </w:r>
      <w:r>
        <w:rPr>
          <w:rFonts w:ascii="Calibri" w:hAnsi="Calibri"/>
          <w:b/>
          <w:color w:val="525866"/>
          <w:sz w:val="22"/>
        </w:rPr>
        <w:t>No open-market buys or discretionary sells; the single transaction is obligation-driven and carries no negative signal</w:t>
      </w:r>
      <w:r>
        <w:rPr>
          <w:rFonts w:ascii="Calibri" w:hAnsi="Calibri"/>
          <w:color w:val="525866"/>
          <w:sz w:val="22"/>
        </w:rPr>
        <w: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John Gregory Cornett</w:t>
            </w:r>
          </w:p>
        </w:tc>
        <w:tc>
          <w:tcPr>
            <w:tcW w:type="dxa" w:w="1234"/>
          </w:tcPr>
          <w:p>
            <w:r>
              <w:rPr>
                <w:rFonts w:ascii="Calibri" w:hAnsi="Calibri"/>
                <w:sz w:val="22"/>
              </w:rPr>
              <w:t>President of a PPL Subsidiary</w:t>
            </w:r>
          </w:p>
        </w:tc>
        <w:tc>
          <w:tcPr>
            <w:tcW w:type="dxa" w:w="1234"/>
          </w:tcPr>
          <w:p>
            <w:r>
              <w:rPr>
                <w:rFonts w:ascii="Calibri" w:hAnsi="Calibri"/>
                <w:sz w:val="22"/>
              </w:rPr>
              <w:t>10b5-1 Planned Sale</w:t>
            </w:r>
          </w:p>
        </w:tc>
        <w:tc>
          <w:tcPr>
            <w:tcW w:type="dxa" w:w="1234"/>
          </w:tcPr>
          <w:p>
            <w:r>
              <w:rPr>
                <w:rFonts w:ascii="Calibri" w:hAnsi="Calibri"/>
                <w:sz w:val="22"/>
              </w:rPr>
              <w:t>7,051 shares (~7,769 remaining post-sale)</w:t>
            </w:r>
          </w:p>
        </w:tc>
        <w:tc>
          <w:tcPr>
            <w:tcW w:type="dxa" w:w="1234"/>
          </w:tcPr>
          <w:p>
            <w:r>
              <w:rPr>
                <w:rFonts w:ascii="Calibri" w:hAnsi="Calibri"/>
                <w:sz w:val="22"/>
              </w:rPr>
              <w:t>June 12, 2026</w:t>
            </w:r>
          </w:p>
        </w:tc>
        <w:tc>
          <w:tcPr>
            <w:tcW w:type="dxa" w:w="1234"/>
          </w:tcPr>
          <w:p>
            <w:r>
              <w:rPr>
                <w:rFonts w:ascii="Calibri" w:hAnsi="Calibri"/>
                <w:sz w:val="22"/>
              </w:rPr>
              <w:t>June 15, 2026</w:t>
            </w:r>
          </w:p>
        </w:tc>
        <w:tc>
          <w:tcPr>
            <w:tcW w:type="dxa" w:w="1234"/>
          </w:tcPr>
          <w:p>
            <w:r>
              <w:rPr>
                <w:rFonts w:ascii="Calibri" w:hAnsi="Calibri"/>
                <w:sz w:val="22"/>
              </w:rPr>
              <w:t>Pre-planned sale under 10b5-1 plan; obligation-driven, not discretionary. No negative signal.</w:t>
            </w:r>
          </w:p>
        </w:tc>
      </w:tr>
    </w:tbl>
    <w:p>
      <w:r>
        <w:rPr>
          <w:rFonts w:ascii="Calibri" w:hAnsi="Calibri"/>
          <w:b/>
          <w:color w:val="525866"/>
          <w:sz w:val="22"/>
        </w:rPr>
        <w:t xml:space="preserve">Note on dates: </w:t>
      </w:r>
      <w:r>
        <w:rPr>
          <w:rFonts w:ascii="Calibri" w:hAnsi="Calibri"/>
          <w:color w:val="525866"/>
          <w:sz w:val="22"/>
        </w:rPr>
        <w:t>Transaction date (June 12, 2026) is when the trade was executed; filing date (June 15, 2026) is when Form 4 was disclosed to the SEC. The three-day gap is normal for 10b5-1 planned sales. Source: Insider Transaction Data (SEC Form 4 Filings Database).</w:t>
      </w:r>
    </w:p>
    <w:p>
      <w:r>
        <w:rPr>
          <w:rFonts w:ascii="Calibri" w:hAnsi="Calibri"/>
          <w:color w:val="525866"/>
          <w:sz w:val="22"/>
        </w:rPr>
        <w:t>No open-market purchases or discretionary sales by C-suite executives or directors were recorded in the period from May 8 to August 6, 2026. The absence of insider buying is not unusual for a regulated utility in a quiet period ahead of earnings; the absence of discretionary selling is a mild positive signal. The 10b5-1 sale by a subsidiary president is routine and carries no informational content about management’s view of the stock.</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EPS (Diluted, Operating), Operating Revenues, Total Rate Base, Expenditures for PP&amp;E. All consensus figures as of August 6, 2026; actuals as latest reported. Source: https://insights.visiblealpha.com/mex/PPL_US/NMV/IS and /CF and /RB.</w:t>
      </w:r>
    </w:p>
    <w:p>
      <w:pPr>
        <w:pStyle w:val="ListBullet"/>
        <w:ind w:left="360" w:hanging="360"/>
      </w:pPr>
      <w:r>
        <w:rPr>
          <w:rFonts w:ascii="Calibri" w:hAnsi="Calibri"/>
          <w:b/>
          <w:color w:val="525866"/>
          <w:sz w:val="22"/>
        </w:rPr>
        <w:t>PPL Corporation Q1 2026 Earnings Release</w:t>
      </w:r>
      <w:r>
        <w:rPr>
          <w:rFonts w:ascii="Calibri" w:hAnsi="Calibri"/>
          <w:color w:val="525866"/>
          <w:sz w:val="22"/>
        </w:rPr>
        <w:t xml:space="preserve"> (May 8, 2026) — Guidance figures, segment EPS, capital plan details. Source: documents/PPL/events/2026/05/08/...</w:t>
      </w:r>
    </w:p>
    <w:p>
      <w:pPr>
        <w:pStyle w:val="ListBullet"/>
        <w:ind w:left="360" w:hanging="360"/>
      </w:pPr>
      <w:r>
        <w:rPr>
          <w:rFonts w:ascii="Calibri" w:hAnsi="Calibri"/>
          <w:b/>
          <w:color w:val="525866"/>
          <w:sz w:val="22"/>
        </w:rPr>
        <w:t>PPL Corporation Q1 2026 Earnings Call Transcript</w:t>
      </w:r>
      <w:r>
        <w:rPr>
          <w:rFonts w:ascii="Calibri" w:hAnsi="Calibri"/>
          <w:color w:val="525866"/>
          <w:sz w:val="22"/>
        </w:rPr>
        <w:t xml:space="preserve"> (May 8, 2026) — Management commentary on data center pipeline, Blackstone JV, regulatory proceedings, equity plan. Source: documents/PPL/transcript/earnings/2026Q1/raw_document.txt.</w:t>
      </w:r>
    </w:p>
    <w:p>
      <w:pPr>
        <w:pStyle w:val="ListBullet"/>
        <w:ind w:left="360" w:hanging="360"/>
      </w:pPr>
      <w:r>
        <w:rPr>
          <w:rFonts w:ascii="Calibri" w:hAnsi="Calibri"/>
          <w:b/>
          <w:color w:val="525866"/>
          <w:sz w:val="22"/>
        </w:rPr>
        <w:t>PPL Corporation 8-K Filings</w:t>
      </w:r>
      <w:r>
        <w:rPr>
          <w:rFonts w:ascii="Calibri" w:hAnsi="Calibri"/>
          <w:color w:val="525866"/>
          <w:sz w:val="22"/>
        </w:rPr>
        <w:t xml:space="preserve"> — Board appointment (June 30, 2026), debt issuances (May 15 and May 18, 2026), shareholder vote (May 13, 2026). Source: SEC EDGAR.</w:t>
      </w:r>
    </w:p>
    <w:p>
      <w:pPr>
        <w:pStyle w:val="ListBullet"/>
        <w:ind w:left="360" w:hanging="360"/>
      </w:pPr>
      <w:r>
        <w:rPr>
          <w:rFonts w:ascii="Calibri" w:hAnsi="Calibri"/>
          <w:b/>
          <w:color w:val="525866"/>
          <w:sz w:val="22"/>
        </w:rPr>
        <w:t>Stock Price Data</w:t>
      </w:r>
      <w:r>
        <w:rPr>
          <w:rFonts w:ascii="Calibri" w:hAnsi="Calibri"/>
          <w:color w:val="525866"/>
          <w:sz w:val="22"/>
        </w:rPr>
        <w:t xml:space="preserve"> — PPL, XLU, SPY daily close prices from May 8 to August 7, 2026.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for PPL, May 8 – August 6, 2026. Source: SEC EDGAR (https://www.sec.gov/).</w:t>
      </w:r>
    </w:p>
    <w:p>
      <w:pPr>
        <w:pStyle w:val="ListBullet"/>
        <w:ind w:left="360" w:hanging="360"/>
      </w:pPr>
      <w:r>
        <w:rPr>
          <w:rFonts w:ascii="Calibri" w:hAnsi="Calibri"/>
          <w:b/>
          <w:color w:val="525866"/>
          <w:sz w:val="22"/>
        </w:rPr>
        <w:t>Peer Q2 2026 Earnings Transcripts and Releases</w:t>
      </w:r>
      <w:r>
        <w:rPr>
          <w:rFonts w:ascii="Calibri" w:hAnsi="Calibri"/>
          <w:color w:val="525866"/>
          <w:sz w:val="22"/>
        </w:rPr>
        <w:t xml:space="preserve"> — AEP (Jul 30), CMS (Jul 28), Dominion (Jul 31), DTE (Jul 28), Duke (Aug 3–4), Entergy (Jul 29), Exelon (Jul 30), FirstEnergy (Jul 28–29), PSEG (Aug 4), Xcel (Jul 29–30). All commentary is from Q2 2026 reporting events only; prior-quarter commentary excluded.</w:t>
      </w:r>
    </w:p>
    <w:p>
      <w:pPr>
        <w:pStyle w:val="ListBullet"/>
        <w:ind w:left="360" w:hanging="360"/>
      </w:pPr>
      <w:r>
        <w:rPr>
          <w:rFonts w:ascii="Calibri" w:hAnsi="Calibri"/>
          <w:b/>
          <w:color w:val="525866"/>
          <w:sz w:val="22"/>
        </w:rPr>
        <w:t>Upgrade/Downgrade Data</w:t>
      </w:r>
      <w:r>
        <w:rPr>
          <w:rFonts w:ascii="Calibri" w:hAnsi="Calibri"/>
          <w:color w:val="525866"/>
          <w:sz w:val="22"/>
        </w:rPr>
        <w:t xml:space="preserve"> — No analyst rating changes recorded for PPL from May 8 to August 6, 2026. Source: Financial Modeling Prep (FMP) via TheFly.com.</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