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ru-earnings-predictions--2026-08-04"/>
    <w:p>
      <w:pPr>
        <w:pStyle w:val="Heading1"/>
      </w:pPr>
      <w:r>
        <w:t xml:space="preserve">PRU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~$3.40 vs. cons $3.42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PGIM adjusted operating income (asset mgmt growth engine)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210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196M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Group Insurance benefits ratio (disability soft spot)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~85.5% vs. cons ~84.0%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New long-term strategic/financial targets (ROE) — the actual catalyst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new ROE target ~15%+ vs. current ~13% (long-term/multi-year framework)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Japan (POJ) FY26 pretax AOI sales-suspension drag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~$525-575M vs. prior $525-575M (FY26, back-half weighted)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effective tax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~21-22% vs. prior 21-22%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PGIM margin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~+200bps to ~21% vs. ~19% run-rate (FY26, toward 25-30% target)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Stock is +25% off May lows into a Hold-rated Street with PTs (</w:t>
            </w:r>
            <m:oMath>
              <m:r>
                <m:t>108</m:t>
              </m:r>
              <m:r>
                <m:rPr>
                  <m:sty m:val="p"/>
                </m:rPr>
                <m:t>−</m:t>
              </m:r>
              <m:r>
                <m:t>117</m:t>
              </m:r>
              <m:r>
                <m:rPr>
                  <m:sty m:val="p"/>
                </m:rPr>
                <m:t>)</m:t>
              </m:r>
              <m:r>
                <m:t>b</m:t>
              </m:r>
              <m:r>
                <m:t>e</m:t>
              </m:r>
              <m:r>
                <m:t>l</m:t>
              </m:r>
              <m:r>
                <m:t>o</m:t>
              </m:r>
              <m:r>
                <m:t>w</m:t>
              </m:r>
              <m:r>
                <m:t>s</m:t>
              </m:r>
              <m:r>
                <m:t>p</m:t>
              </m:r>
              <m:r>
                <m:t>o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123), so the bar for the strategy reveal is very high and skewed to sell-the-news. Even on an in-line/small beat, the out-period math cuts estimates: Japan drag is back-half weighted and steps up sequentially (only ~$130M booked in Q1 of the</w:t>
            </w:r>
            <w:r>
              <w:t xml:space="preserve"> </w:t>
            </w:r>
            <m:oMath>
              <m:r>
                <m:t>525</m:t>
              </m:r>
              <m:r>
                <m:rPr>
                  <m:sty m:val="p"/>
                </m:rPr>
                <m:t>−</m:t>
              </m:r>
              <m:r>
                <m:t>575</m:t>
              </m:r>
              <m:r>
                <m:t>M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h</m:t>
              </m:r>
              <m:r>
                <m:t>i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,</m:t>
              </m:r>
              <m:r>
                <m:t>G</m:t>
              </m:r>
              <m:r>
                <m:t>r</m:t>
              </m:r>
              <m:r>
                <m:t>o</m:t>
              </m:r>
              <m:r>
                <m:t>u</m:t>
              </m:r>
              <m:r>
                <m:t>p</m:t>
              </m:r>
              <m:r>
                <m:t>d</m:t>
              </m:r>
              <m:r>
                <m:t>i</m:t>
              </m:r>
              <m:r>
                <m:t>s</m:t>
              </m:r>
              <m:r>
                <m:t>a</m:t>
              </m:r>
              <m:r>
                <m:t>b</m:t>
              </m:r>
              <m:r>
                <m:t>i</m:t>
              </m:r>
              <m:r>
                <m:t>l</m:t>
              </m:r>
              <m:r>
                <m:t>i</m:t>
              </m:r>
              <m:r>
                <m:t>t</m:t>
              </m:r>
              <m:r>
                <m:t>y</m:t>
              </m:r>
              <m:r>
                <m:t>i</m:t>
              </m:r>
              <m:r>
                <m:t>s</m:t>
              </m:r>
              <m:r>
                <m:t>l</m:t>
              </m:r>
              <m:r>
                <m:t>e</m:t>
              </m:r>
              <m:r>
                <m:t>a</m:t>
              </m:r>
              <m:r>
                <m:t>k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i</m:t>
              </m:r>
              <m:r>
                <m:t>s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d</m:t>
              </m:r>
              <m:r>
                <m:t>y</m:t>
              </m:r>
              <m:r>
                <m:t>d</m:t>
              </m:r>
              <m:r>
                <m:t>r</m:t>
              </m:r>
              <m:r>
                <m:t>i</m:t>
              </m:r>
              <m:r>
                <m:t>f</m:t>
              </m:r>
              <m:r>
                <m:t>t</m:t>
              </m:r>
              <m:r>
                <m:t>i</m:t>
              </m:r>
              <m:r>
                <m:t>n</m:t>
              </m:r>
              <m:r>
                <m:t>g</m:t>
              </m:r>
              <m:r>
                <m:t>t</m:t>
              </m:r>
              <m:r>
                <m:t>o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 </m:t>
              </m:r>
            </m:oMath>
            <w:r>
              <w:t xml:space="preserve">13.80. Unless the strategic framework delivers concrete divestitures + quantified higher-ROE/capital-return targets, downward revisions drive follow-through on the negative day-1 move rather than a bounce.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2026-08-04T02:07:33Z</dcterms:created>
  <dcterms:modified xsi:type="dcterms:W3CDTF">2026-08-04T02:07:33Z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