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PRU (Prudential Financial) before writing the preview. Let me start with several parallel searches.Let me read the Q1 2026 earnings materials and the recent Japan misconduct press release.Let me get analyst estimates and any recent sellside/news context.I have strong material. Let me grab a couple more data points on analyst sentiment/dividend and confirm prior-year Q2 numbers.I now have enough to write the preview.</w:t>
      </w:r>
    </w:p>
    <w:bookmarkStart w:id="20" w:name="X525ff0a83499326454f7341c59cc3c4ebe4b816"/>
    <w:p>
      <w:pPr>
        <w:pStyle w:val="Heading1"/>
      </w:pPr>
      <w:r>
        <w:t xml:space="preserve">Prudential Financial (PRU) — Q2 2026 Earnings Preview</w:t>
      </w:r>
    </w:p>
    <w:bookmarkStart w:id="9" w:name="Xd3081d70c9a5baa3daf809639d8fbdfc9b52418"/>
    <w:p>
      <w:pPr>
        <w:pStyle w:val="Heading3"/>
      </w:pPr>
      <w:r>
        <w:t xml:space="preserve">Reports after the close Monday, Aug 3 / call Tuesday, Aug 4, 2026 (2026Q2 Earnings Call)</w:t>
      </w:r>
    </w:p>
    <w:p>
      <w:r>
        <w:pict>
          <v:rect style="width:0;height:1.5pt" o:hralign="center" o:hrstd="t" o:hr="t"/>
        </w:pict>
      </w:r>
    </w:p>
    <w:bookmarkEnd w:id="9"/>
    <w:bookmarkStart w:id="10" w:name="Xdb8f736f75ec9b0e631c865f36210ca3fa22729"/>
    <w:p>
      <w:pPr>
        <w:pStyle w:val="Heading2"/>
      </w:pPr>
      <w:r>
        <w:t xml:space="preserve">The one thing that matters most this quarter</w:t>
      </w:r>
    </w:p>
    <w:p>
      <w:pPr>
        <w:pStyle w:val="FirstParagraph"/>
      </w:pPr>
      <w:r>
        <w:t xml:space="preserve">This is not a normal print. Management has explicitly teed up the Q2 call as the venue for its long-awaited</w:t>
      </w:r>
      <w:r>
        <w:t xml:space="preserve"> </w:t>
      </w:r>
      <w:r>
        <w:rPr>
          <w:b/>
          <w:bCs/>
        </w:rPr>
        <w:t xml:space="preserve">strategic reset</w:t>
      </w:r>
      <w:r>
        <w:t xml:space="preserve">. On the Q1 call, CEO Andy Sullivan said "We will share more details on Prudential's long-term vision and strategy on our second quarter call in August." He was blunt about the setup: "the performance of the organization has not been good enough... a key contributor to that underperformance is a lack of focus. Both capital and investment dollars are spread too thinly. We have too many businesses in too many markets where we're either subscale or we're not competitive."</w:t>
      </w:r>
    </w:p>
    <w:p>
      <w:pPr>
        <w:pStyle w:val="BodyText"/>
      </w:pPr>
      <w:r>
        <w:t xml:space="preserve">He framed the direction as concentrating capital into fewer, winning businesses: "we're a top player in a more focused set of businesses. We will focus our capital and investment dollars more than you've seen... on big markets with tailwinds, where we clearly have the product and distribution capabilities and brand to win." He also cautioned it's "early in our business mix shift."</w:t>
      </w:r>
    </w:p>
    <w:p>
      <w:pPr>
        <w:pStyle w:val="BodyText"/>
      </w:pPr>
      <w:r>
        <w:rPr>
          <w:b/>
          <w:bCs/>
        </w:rPr>
        <w:t xml:space="preserve">Bottom line for the print:</w:t>
      </w:r>
      <w:r>
        <w:t xml:space="preserve"> </w:t>
      </w:r>
      <w:r>
        <w:t xml:space="preserve">the headline EPS number will matter less than (1) how concrete/credible the strategic framework is, (2) whether it comes with new financial targets (ROE, growth, capital return), and (3) any signal on larger portfolio actions/divestitures beyond the small exits already announced (PGIM Taiwan/India, insurance in Kenya/Indonesia — which one analyst pushed back on as "not particularly needle moving").</w:t>
      </w:r>
    </w:p>
    <w:p>
      <w:r>
        <w:pict>
          <v:rect style="width:0;height:1.5pt" o:hralign="center" o:hrstd="t" o:hr="t"/>
        </w:pict>
      </w:r>
    </w:p>
    <w:bookmarkEnd w:id="10"/>
    <w:bookmarkStart w:id="11" w:name="consensus--what-the-street-expects"/>
    <w:p>
      <w:pPr>
        <w:pStyle w:val="Heading2"/>
      </w:pPr>
      <w:r>
        <w:t xml:space="preserve">Consensus &amp; 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Y/Y</w:t>
            </w:r>
          </w:p>
        </w:tc>
      </w:tr>
      <w:tr>
        <w:tc>
          <w:tcPr/>
          <w:p>
            <w:pPr>
              <w:pStyle w:val="Compact"/>
            </w:pPr>
            <w:r>
              <w:t xml:space="preserve">Adjusted EPS</w:t>
            </w:r>
          </w:p>
        </w:tc>
        <w:tc>
          <w:tcPr/>
          <w:p>
            <w:pPr>
              <w:pStyle w:val="Compact"/>
            </w:pPr>
            <w:r>
              <w:rPr>
                <w:b/>
                <w:bCs/>
              </w:rPr>
              <w:t xml:space="preserve">~$3.42</w:t>
            </w:r>
          </w:p>
        </w:tc>
        <w:tc>
          <w:tcPr/>
          <w:p>
            <w:pPr>
              <w:pStyle w:val="Compact"/>
            </w:pPr>
            <w:r>
              <w:t xml:space="preserve">~ -4.5%</w:t>
            </w:r>
          </w:p>
        </w:tc>
      </w:tr>
      <w:tr>
        <w:tc>
          <w:tcPr/>
          <w:p>
            <w:pPr>
              <w:pStyle w:val="Compact"/>
            </w:pPr>
            <w:r>
              <w:t xml:space="preserve">Revenue</w:t>
            </w:r>
          </w:p>
        </w:tc>
        <w:tc>
          <w:tcPr/>
          <w:p>
            <w:pPr>
              <w:pStyle w:val="Compact"/>
            </w:pPr>
            <w:r>
              <w:rPr>
                <w:b/>
                <w:bCs/>
              </w:rPr>
              <w:t xml:space="preserve">~$14.15B</w:t>
            </w:r>
          </w:p>
        </w:tc>
        <w:tc>
          <w:tcPr/>
          <w:p>
            <w:pPr>
              <w:pStyle w:val="Compact"/>
            </w:pPr>
            <w:r>
              <w:t xml:space="preserve">+~4.8%</w:t>
            </w:r>
          </w:p>
        </w:tc>
      </w:tr>
    </w:tbl>
    <w:p>
      <w:pPr>
        <w:pStyle w:val="Compact"/>
        <w:numPr>
          <w:ilvl w:val="0"/>
          <w:numId w:val="1001"/>
        </w:numPr>
      </w:pPr>
      <w:r>
        <w:t xml:space="preserve">The Street models a modest</w:t>
      </w:r>
      <w:r>
        <w:t xml:space="preserve"> </w:t>
      </w:r>
      <w:r>
        <w:rPr>
          <w:b/>
          <w:bCs/>
        </w:rPr>
        <w:t xml:space="preserve">earnings decline on higher revenue</w:t>
      </w:r>
      <w:r>
        <w:t xml:space="preserve">. Wall Street analysts expect Prudential to post quarterly earnings of $3.42 per share, which indicates a year-over-year decline of 4.5%, with revenues expected to be $14.15 billion, up 4.8% from the year-ago quarter.</w:t>
      </w:r>
    </w:p>
    <w:p>
      <w:pPr>
        <w:pStyle w:val="Compact"/>
        <w:numPr>
          <w:ilvl w:val="0"/>
          <w:numId w:val="1001"/>
        </w:numPr>
      </w:pPr>
      <w:r>
        <w:t xml:space="preserve">Estimates have been drifting</w:t>
      </w:r>
      <w:r>
        <w:t xml:space="preserve"> </w:t>
      </w:r>
      <w:r>
        <w:rPr>
          <w:b/>
          <w:bCs/>
        </w:rPr>
        <w:t xml:space="preserve">lower</w:t>
      </w:r>
      <w:r>
        <w:t xml:space="preserve"> </w:t>
      </w:r>
      <w:r>
        <w:t xml:space="preserve">into the print — the consensus EPS estimate for the quarter was revised 2.29% lower over the last 30 days. Dowling &amp; Partners recently cut its FY26 EPS estimate to ~$13.80.</w:t>
      </w:r>
    </w:p>
    <w:p>
      <w:pPr>
        <w:pStyle w:val="Compact"/>
        <w:numPr>
          <w:ilvl w:val="0"/>
          <w:numId w:val="1001"/>
        </w:numPr>
      </w:pPr>
      <w:r>
        <w:t xml:space="preserve">For context, Q1 2026 came in at</w:t>
      </w:r>
      <w:r>
        <w:t xml:space="preserve"> </w:t>
      </w:r>
      <w:r>
        <w:rPr>
          <w:b/>
          <w:bCs/>
        </w:rPr>
        <w:t xml:space="preserve">$3.61</w:t>
      </w:r>
      <w:r>
        <w:t xml:space="preserve"> </w:t>
      </w:r>
      <w:r>
        <w:t xml:space="preserve">(+10% y/y), so consensus implies a sequential step-down, largely reflecting Japan drag and normalization of one-timers.</w:t>
      </w:r>
    </w:p>
    <w:p>
      <w:r>
        <w:pict>
          <v:rect style="width:0;height:1.5pt" o:hralign="center" o:hrstd="t" o:hr="t"/>
        </w:pict>
      </w:r>
    </w:p>
    <w:bookmarkEnd w:id="11"/>
    <w:bookmarkStart w:id="16" w:name="key-watch-items"/>
    <w:p>
      <w:pPr>
        <w:pStyle w:val="Heading2"/>
      </w:pPr>
      <w:r>
        <w:t xml:space="preserve">Key watch items</w:t>
      </w:r>
    </w:p>
    <w:bookmarkStart w:id="12" w:name="Xcc2a9392594d1460af2d9813ebdcdded3100779"/>
    <w:p>
      <w:pPr>
        <w:pStyle w:val="Heading3"/>
      </w:pPr>
      <w:r>
        <w:t xml:space="preserve">1. Japan (POJ) sales suspension — the biggest earnings overhang</w:t>
      </w:r>
    </w:p>
    <w:p>
      <w:pPr>
        <w:pStyle w:val="Compact"/>
        <w:numPr>
          <w:ilvl w:val="0"/>
          <w:numId w:val="1002"/>
        </w:numPr>
      </w:pPr>
      <w:r>
        <w:t xml:space="preserve">POJ sales remain suspended, extended through</w:t>
      </w:r>
      <w:r>
        <w:t xml:space="preserve"> </w:t>
      </w:r>
      <w:r>
        <w:rPr>
          <w:b/>
          <w:bCs/>
        </w:rPr>
        <w:t xml:space="preserve">Nov 5, 2026</w:t>
      </w:r>
      <w:r>
        <w:t xml:space="preserve">. Management reiterated the aggregate impact to 2026 pretax adjusted operating income of approximately $525 million to $575 million.</w:t>
      </w:r>
    </w:p>
    <w:p>
      <w:pPr>
        <w:pStyle w:val="Compact"/>
        <w:numPr>
          <w:ilvl w:val="0"/>
          <w:numId w:val="1002"/>
        </w:numPr>
      </w:pPr>
      <w:r>
        <w:t xml:space="preserve">Importantly, the impact</w:t>
      </w:r>
      <w:r>
        <w:t xml:space="preserve"> </w:t>
      </w:r>
      <w:r>
        <w:rPr>
          <w:b/>
          <w:bCs/>
        </w:rPr>
        <w:t xml:space="preserve">builds through the year</w:t>
      </w:r>
      <w:r>
        <w:t xml:space="preserve"> </w:t>
      </w:r>
      <w:r>
        <w:t xml:space="preserve">— Q1 captured only ~</w:t>
      </w:r>
      <m:oMath>
        <m:r>
          <m:t>130</m:t>
        </m:r>
        <m:r>
          <m:t>M</m:t>
        </m:r>
        <m:r>
          <m:rPr>
            <m:sty m:val="p"/>
          </m:rPr>
          <m:t>(</m:t>
        </m:r>
      </m:oMath>
      <w:r>
        <w:t xml:space="preserve">50M reimbursement,</w:t>
      </w:r>
      <w:r>
        <w:t xml:space="preserve"> </w:t>
      </w:r>
      <m:oMath>
        <m:r>
          <m:t>50</m:t>
        </m:r>
        <m:r>
          <m:t>M</m:t>
        </m:r>
        <m:r>
          <m:t>L</m:t>
        </m:r>
        <m:r>
          <m:t>i</m:t>
        </m:r>
        <m:r>
          <m:t>f</m:t>
        </m:r>
        <m:r>
          <m:t>e</m:t>
        </m:r>
        <m:r>
          <m:t>P</m:t>
        </m:r>
        <m:r>
          <m:t>l</m:t>
        </m:r>
        <m:r>
          <m:t>a</m:t>
        </m:r>
        <m:r>
          <m:t>n</m:t>
        </m:r>
        <m:r>
          <m:t>n</m:t>
        </m:r>
        <m:r>
          <m:t>e</m:t>
        </m:r>
        <m:r>
          <m:t>r</m:t>
        </m:r>
        <m:r>
          <m:t>c</m:t>
        </m:r>
        <m:r>
          <m:t>o</m:t>
        </m:r>
        <m:r>
          <m:t>m</m:t>
        </m:r>
        <m:r>
          <m:t>p</m:t>
        </m:r>
        <m:r>
          <m:rPr>
            <m:sty m:val="p"/>
          </m:rPr>
          <m:t>,</m:t>
        </m:r>
        <m:r>
          <m:t> </m:t>
        </m:r>
      </m:oMath>
      <w:r>
        <w:t xml:space="preserve">30M sales/surrenders) and management warned "the impact is not linear. The impact of lower sales and surrenders builds as the year progresses... we expect the impact to grow throughout the year."</w:t>
      </w:r>
      <w:r>
        <w:t xml:space="preserve"> </w:t>
      </w:r>
      <w:r>
        <w:rPr>
          <w:b/>
          <w:bCs/>
        </w:rPr>
        <w:t xml:space="preserve">Expect a heavier Japan drag in Q2 than Q1.</w:t>
      </w:r>
    </w:p>
    <w:p>
      <w:pPr>
        <w:pStyle w:val="Compact"/>
        <w:numPr>
          <w:ilvl w:val="0"/>
          <w:numId w:val="1002"/>
        </w:numPr>
      </w:pPr>
      <w:r>
        <w:t xml:space="preserve">Resilience anchors: 90% of the earnings in POJ are driven by the in-force, and the in-force hit is guided at a 10% earnings power reduction in '26 and another 5% in '27.</w:t>
      </w:r>
    </w:p>
    <w:p>
      <w:pPr>
        <w:pStyle w:val="Compact"/>
        <w:numPr>
          <w:ilvl w:val="0"/>
          <w:numId w:val="1002"/>
        </w:numPr>
      </w:pPr>
      <w:r>
        <w:rPr>
          <w:b/>
          <w:bCs/>
        </w:rPr>
        <w:t xml:space="preserve">Watch Life Planner retention</w:t>
      </w:r>
      <w:r>
        <w:t xml:space="preserve"> </w:t>
      </w:r>
      <w:r>
        <w:t xml:space="preserve">(the leading indicator of franchise damage). In Q1, Life Planner headcount was down less than 1%, and the rate of LP resignations was at a similar level compared to last year. Any acceleration in attrition would be a red flag.</w:t>
      </w:r>
    </w:p>
    <w:p>
      <w:pPr>
        <w:pStyle w:val="Compact"/>
        <w:numPr>
          <w:ilvl w:val="0"/>
          <w:numId w:val="1002"/>
        </w:numPr>
      </w:pPr>
      <w:r>
        <w:t xml:space="preserve">The remediation is progressing publicly — a</w:t>
      </w:r>
      <w:r>
        <w:t xml:space="preserve"> </w:t>
      </w:r>
      <w:r>
        <w:rPr>
          <w:b/>
          <w:bCs/>
        </w:rPr>
        <w:t xml:space="preserve">July 24 reimbursement update</w:t>
      </w:r>
      <w:r>
        <w:t xml:space="preserve"> </w:t>
      </w:r>
      <w:r>
        <w:t xml:space="preserve">showed that of the 498 originally identified affected individuals (¥3.08B of claims), review or reimbursement was completed for 437 individuals representing ¥2.85 billion of claims. The company is running quarterly transparency updates.</w:t>
      </w:r>
    </w:p>
    <w:p>
      <w:pPr>
        <w:pStyle w:val="Compact"/>
        <w:numPr>
          <w:ilvl w:val="0"/>
          <w:numId w:val="1002"/>
        </w:numPr>
      </w:pPr>
      <w:r>
        <w:t xml:space="preserve">Also confirm the reiterated stance that Japan does</w:t>
      </w:r>
      <w:r>
        <w:t xml:space="preserve"> </w:t>
      </w:r>
      <w:r>
        <w:rPr>
          <w:b/>
          <w:bCs/>
        </w:rPr>
        <w:t xml:space="preserve">not</w:t>
      </w:r>
      <w:r>
        <w:t xml:space="preserve"> </w:t>
      </w:r>
      <w:r>
        <w:t xml:space="preserve">materially hit capital, ESR or cash flows, and therefore no changes to capital deployment or shareholder distribution.</w:t>
      </w:r>
    </w:p>
    <w:bookmarkEnd w:id="12"/>
    <w:bookmarkStart w:id="13" w:name="Xe1d3aa4ae1a5a767f69ad983edfca7d82d89750"/>
    <w:p>
      <w:pPr>
        <w:pStyle w:val="Heading3"/>
      </w:pPr>
      <w:r>
        <w:t xml:space="preserve">2. PGIM (asset management) — the designated growth engine</w:t>
      </w:r>
    </w:p>
    <w:p>
      <w:pPr>
        <w:pStyle w:val="Compact"/>
        <w:numPr>
          <w:ilvl w:val="0"/>
          <w:numId w:val="1003"/>
        </w:numPr>
      </w:pPr>
      <w:r>
        <w:t xml:space="preserve">Q1 PGIM PTOI was $190M (+22% y/y) at a</w:t>
      </w:r>
      <w:r>
        <w:t xml:space="preserve"> </w:t>
      </w:r>
      <w:r>
        <w:rPr>
          <w:b/>
          <w:bCs/>
        </w:rPr>
        <w:t xml:space="preserve">19.1% margin</w:t>
      </w:r>
      <w:r>
        <w:t xml:space="preserve">, and management reaffirmed it is on track to deliver approximately $100 million of gross annual run rate savings and more than 200 basis points of margin expansion in 2026, accelerating toward its 25% to 30% margin target.</w:t>
      </w:r>
    </w:p>
    <w:p>
      <w:pPr>
        <w:pStyle w:val="Compact"/>
        <w:numPr>
          <w:ilvl w:val="0"/>
          <w:numId w:val="1003"/>
        </w:numPr>
      </w:pPr>
      <w:r>
        <w:t xml:space="preserve">Note the seasonal cadence: first quarter margins are seasonally the lowest of the four quarters, so Q2 margin should look better.</w:t>
      </w:r>
    </w:p>
    <w:p>
      <w:pPr>
        <w:pStyle w:val="Compact"/>
        <w:numPr>
          <w:ilvl w:val="0"/>
          <w:numId w:val="1003"/>
        </w:numPr>
      </w:pPr>
      <w:r>
        <w:t xml:space="preserve">Flows are the swing factor. Q1 saw third-party net inflows of ~</w:t>
      </w:r>
      <m:oMath>
        <m:r>
          <m:t>1.8</m:t>
        </m:r>
        <m:r>
          <m:t>B</m:t>
        </m:r>
        <m:r>
          <m:t>b</m:t>
        </m:r>
        <m:r>
          <m:t>u</m:t>
        </m:r>
        <m:r>
          <m:t>t</m:t>
        </m:r>
        <m:r>
          <m:t>p</m:t>
        </m:r>
        <m:r>
          <m:t>e</m:t>
        </m:r>
        <m:r>
          <m:t>r</m:t>
        </m:r>
        <m:r>
          <m:t>s</m:t>
        </m:r>
        <m:r>
          <m:t>i</m:t>
        </m:r>
        <m:r>
          <m:t>s</m:t>
        </m:r>
        <m:r>
          <m:t>t</m:t>
        </m:r>
        <m:r>
          <m:t>e</m:t>
        </m:r>
        <m:r>
          <m:t>n</m:t>
        </m:r>
        <m:r>
          <m:t>t</m:t>
        </m:r>
        <m:r>
          <m:t>a</m:t>
        </m:r>
        <m:r>
          <m:t>c</m:t>
        </m:r>
        <m:r>
          <m:t>t</m:t>
        </m:r>
        <m:r>
          <m:t>i</m:t>
        </m:r>
        <m:r>
          <m:t>v</m:t>
        </m:r>
        <m:r>
          <m:t>e</m:t>
        </m:r>
        <m:r>
          <m:rPr>
            <m:sty m:val="p"/>
          </m:rPr>
          <m:t>−</m:t>
        </m:r>
        <m:r>
          <m:t>e</m:t>
        </m:r>
        <m:r>
          <m:t>q</m:t>
        </m:r>
        <m:r>
          <m:t>u</m:t>
        </m:r>
        <m:r>
          <m:t>i</m:t>
        </m:r>
        <m:r>
          <m:t>t</m:t>
        </m:r>
        <m:r>
          <m:t>y</m:t>
        </m:r>
        <m:r>
          <m:t>o</m:t>
        </m:r>
        <m:r>
          <m:t>u</m:t>
        </m:r>
        <m:r>
          <m:t>t</m:t>
        </m:r>
        <m:r>
          <m:t>f</m:t>
        </m:r>
        <m:r>
          <m:t>l</m:t>
        </m:r>
        <m:r>
          <m:t>o</m:t>
        </m:r>
        <m:r>
          <m:t>w</m:t>
        </m:r>
        <m:r>
          <m:t>s</m:t>
        </m:r>
        <m:r>
          <m:rPr>
            <m:sty m:val="p"/>
          </m:rPr>
          <m:t>;</m:t>
        </m:r>
        <m:r>
          <m:t>f</m:t>
        </m:r>
        <m:r>
          <m:t>i</m:t>
        </m:r>
        <m:r>
          <m:t>x</m:t>
        </m:r>
        <m:r>
          <m:t>e</m:t>
        </m:r>
        <m:r>
          <m:t>d</m:t>
        </m:r>
        <m:r>
          <m:t>i</m:t>
        </m:r>
        <m:r>
          <m:t>n</m:t>
        </m:r>
        <m:r>
          <m:t>c</m:t>
        </m:r>
        <m:r>
          <m:t>o</m:t>
        </m:r>
        <m:r>
          <m:t>m</m:t>
        </m:r>
        <m:r>
          <m:t>e</m:t>
        </m:r>
        <m:r>
          <m:t>a</m:t>
        </m:r>
        <m:r>
          <m:t>n</m:t>
        </m:r>
        <m:r>
          <m:t>d</m:t>
        </m:r>
        <m:r>
          <m:t>r</m:t>
        </m:r>
        <m:r>
          <m:t>e</m:t>
        </m:r>
        <m:r>
          <m:t>a</m:t>
        </m:r>
        <m:r>
          <m:t>l</m:t>
        </m:r>
        <m:r>
          <m:t>e</m:t>
        </m:r>
        <m:r>
          <m:t>s</m:t>
        </m:r>
        <m:r>
          <m:t>t</m:t>
        </m:r>
        <m:r>
          <m:t>a</m:t>
        </m:r>
        <m:r>
          <m:t>t</m:t>
        </m:r>
        <m:r>
          <m:t>e</m:t>
        </m:r>
        <m:r>
          <m:t>a</m:t>
        </m:r>
        <m:r>
          <m:t>r</m:t>
        </m:r>
        <m:r>
          <m:t>e</m:t>
        </m:r>
        <m:r>
          <m:rPr>
            <m:sty m:val="p"/>
          </m:rPr>
          <m:t>&gt;</m:t>
        </m:r>
        <m:r>
          <m:t>70</m:t>
        </m:r>
      </m:oMath>
      <w:r>
        <w:t xml:space="preserve">30B, nearly doubled y/y).</w:t>
      </w:r>
    </w:p>
    <w:bookmarkEnd w:id="13"/>
    <w:bookmarkStart w:id="14" w:name="Xa6a3fb205aeeec8bc3e4f807a477616db5fb604"/>
    <w:p>
      <w:pPr>
        <w:pStyle w:val="Heading3"/>
      </w:pPr>
      <w:r>
        <w:t xml:space="preserve">3. U.S. Businesses — Retirement strong, Group the soft spot</w:t>
      </w:r>
    </w:p>
    <w:p>
      <w:pPr>
        <w:pStyle w:val="Compact"/>
        <w:numPr>
          <w:ilvl w:val="0"/>
          <w:numId w:val="1004"/>
        </w:numPr>
      </w:pPr>
      <w:r>
        <w:rPr>
          <w:b/>
          <w:bCs/>
        </w:rPr>
        <w:t xml:space="preserve">Retirement</w:t>
      </w:r>
      <w:r>
        <w:t xml:space="preserve"> </w:t>
      </w:r>
      <w:r>
        <w:t xml:space="preserve">is the momentum story: retail annuity sales driven by FlexGuard 2.0 (RILA), plus episodic PRT. Watch for a normalized run-rate — management guided to roughly **~</w:t>
      </w:r>
      <m:oMath>
        <m:r>
          <m:t>600</m:t>
        </m:r>
        <m:r>
          <m:t>M</m:t>
        </m:r>
        <m:r>
          <m:rPr>
            <m:sty m:val="p"/>
          </m:rPr>
          <m:t>*</m:t>
        </m:r>
        <m:r>
          <m:rPr>
            <m:sty m:val="p"/>
          </m:rPr>
          <m:t>*</m:t>
        </m:r>
        <m:r>
          <m:t>a</m:t>
        </m:r>
        <m:r>
          <m:t>f</m:t>
        </m:r>
        <m:r>
          <m:t>t</m:t>
        </m:r>
        <m:r>
          <m:t>e</m:t>
        </m:r>
        <m:r>
          <m:t>r</m:t>
        </m:r>
        <m:r>
          <m:t>s</m:t>
        </m:r>
        <m:r>
          <m:t>t</m:t>
        </m:r>
        <m:r>
          <m:t>r</m:t>
        </m:r>
        <m:r>
          <m:t>i</m:t>
        </m:r>
        <m:r>
          <m:t>p</m:t>
        </m:r>
        <m:r>
          <m:t>p</m:t>
        </m:r>
        <m:r>
          <m:t>i</m:t>
        </m:r>
        <m:r>
          <m:t>n</m:t>
        </m:r>
        <m:r>
          <m:t>g</m:t>
        </m:r>
        <m:r>
          <m:t> </m:t>
        </m:r>
      </m:oMath>
      <w:r>
        <w:t xml:space="preserve">25M of Q1 prepay income.</w:t>
      </w:r>
    </w:p>
    <w:p>
      <w:pPr>
        <w:pStyle w:val="Compact"/>
        <w:numPr>
          <w:ilvl w:val="0"/>
          <w:numId w:val="1004"/>
        </w:numPr>
      </w:pPr>
      <w:r>
        <w:rPr>
          <w:b/>
          <w:bCs/>
        </w:rPr>
        <w:t xml:space="preserve">Group Insurance</w:t>
      </w:r>
      <w:r>
        <w:t xml:space="preserve"> </w:t>
      </w:r>
      <w:r>
        <w:t xml:space="preserve">is the area to scrutinize. Q1 PTOI fell to $38M (from $89M) on weaker</w:t>
      </w:r>
      <w:r>
        <w:t xml:space="preserve"> </w:t>
      </w:r>
      <w:r>
        <w:rPr>
          <w:b/>
          <w:bCs/>
        </w:rPr>
        <w:t xml:space="preserve">long-term disability</w:t>
      </w:r>
      <w:r>
        <w:t xml:space="preserve"> </w:t>
      </w:r>
      <w:r>
        <w:t xml:space="preserve">incidence/severity, which management tied to "increased macroeconomic uncertainty... when there's greater uncertainty around job loss." The benefits ratio of 83.7% stayed inside the 83–87% target range — watch whether it stays contained or deteriorates given ongoing white-collar layoffs.</w:t>
      </w:r>
    </w:p>
    <w:p>
      <w:pPr>
        <w:pStyle w:val="Compact"/>
        <w:numPr>
          <w:ilvl w:val="0"/>
          <w:numId w:val="1004"/>
        </w:numPr>
      </w:pPr>
      <w:r>
        <w:rPr>
          <w:b/>
          <w:bCs/>
        </w:rPr>
        <w:t xml:space="preserve">Individual Life</w:t>
      </w:r>
      <w:r>
        <w:t xml:space="preserve"> </w:t>
      </w:r>
      <w:r>
        <w:t xml:space="preserve">benefited from favorable mortality and the new re-segmentation (GUL carved into "U.S. Legacy Products"), making the go-forward block look cleaner.</w:t>
      </w:r>
    </w:p>
    <w:bookmarkEnd w:id="14"/>
    <w:bookmarkStart w:id="15" w:name="X9d09e972db1cd6e70f8ca64794828b13c37b362"/>
    <w:p>
      <w:pPr>
        <w:pStyle w:val="Heading3"/>
      </w:pPr>
      <w:r>
        <w:t xml:space="preserve">4. Expenses, tax and guidance housekeeping</w:t>
      </w:r>
    </w:p>
    <w:p>
      <w:pPr>
        <w:pStyle w:val="Compact"/>
        <w:numPr>
          <w:ilvl w:val="0"/>
          <w:numId w:val="1005"/>
        </w:numPr>
      </w:pPr>
      <w:r>
        <w:t xml:space="preserve">The tax rate guide was cut on the Q1 call — lowering the full year 2026 range from 23%-24% to 21%-22%, partly due to lower Japan earnings.</w:t>
      </w:r>
    </w:p>
    <w:p>
      <w:pPr>
        <w:pStyle w:val="Compact"/>
        <w:numPr>
          <w:ilvl w:val="0"/>
          <w:numId w:val="1005"/>
        </w:numPr>
      </w:pPr>
      <w:r>
        <w:t xml:space="preserve">Cost program: a prior $135 million restructuring charge is expected to yield $150 million of run-rate savings in 2027, with additional investment benefits also landing in 2027. Watch for any raise/refresh of these targets alongside the strategy update.</w:t>
      </w:r>
    </w:p>
    <w:p>
      <w:r>
        <w:pict>
          <v:rect style="width:0;height:1.5pt" o:hralign="center" o:hrstd="t" o:hr="t"/>
        </w:pict>
      </w:r>
    </w:p>
    <w:bookmarkEnd w:id="15"/>
    <w:bookmarkEnd w:id="16"/>
    <w:bookmarkStart w:id="17" w:name="capital-return--valuation"/>
    <w:p>
      <w:pPr>
        <w:pStyle w:val="Heading2"/>
      </w:pPr>
      <w:r>
        <w:t xml:space="preserve">Capital return &amp; valuation</w:t>
      </w:r>
    </w:p>
    <w:p>
      <w:pPr>
        <w:pStyle w:val="Compact"/>
        <w:numPr>
          <w:ilvl w:val="0"/>
          <w:numId w:val="1006"/>
        </w:numPr>
      </w:pPr>
      <w:r>
        <w:t xml:space="preserve">The dividend was raised to</w:t>
      </w:r>
      <w:r>
        <w:t xml:space="preserve"> </w:t>
      </w:r>
      <w:r>
        <w:rPr>
          <w:b/>
          <w:bCs/>
        </w:rPr>
        <w:t xml:space="preserve">$1.40/quarter</w:t>
      </w:r>
      <w:r>
        <w:t xml:space="preserve"> </w:t>
      </w:r>
      <w:r>
        <w:t xml:space="preserve">(from $1.35), payable June 11, 2026, a yield of roughly 5% on adjusted book value. Confirm buyback pace continues uninterrupted given the "no capital impact from Japan" messaging.</w:t>
      </w:r>
    </w:p>
    <w:p>
      <w:pPr>
        <w:pStyle w:val="Compact"/>
        <w:numPr>
          <w:ilvl w:val="0"/>
          <w:numId w:val="1006"/>
        </w:numPr>
      </w:pPr>
      <w:r>
        <w:t xml:space="preserve">Capital position is healthy: ~$3.7B cash/liquid (vs. $3B minimum), ESR estimated 170–190% (vs. 150% target), AA financial strength.</w:t>
      </w:r>
    </w:p>
    <w:p>
      <w:pPr>
        <w:pStyle w:val="Compact"/>
        <w:numPr>
          <w:ilvl w:val="0"/>
          <w:numId w:val="1006"/>
        </w:numPr>
      </w:pPr>
      <w:r>
        <w:rPr>
          <w:b/>
          <w:bCs/>
        </w:rPr>
        <w:t xml:space="preserve">Sentiment/valuation:</w:t>
      </w:r>
      <w:r>
        <w:t xml:space="preserve"> </w:t>
      </w:r>
      <w:r>
        <w:t xml:space="preserve">the Street is cautious. Consensus rating is</w:t>
      </w:r>
      <w:r>
        <w:t xml:space="preserve"> </w:t>
      </w:r>
      <w:r>
        <w:rPr>
          <w:b/>
          <w:bCs/>
        </w:rPr>
        <w:t xml:space="preserve">Hold</w:t>
      </w:r>
      <w:r>
        <w:t xml:space="preserve"> </w:t>
      </w:r>
      <w:r>
        <w:t xml:space="preserve">(Argus downgraded to Hold in June 2026), with price targets clustered in the ~</w:t>
      </w:r>
      <m:oMath>
        <m:r>
          <m:t>108</m:t>
        </m:r>
        <m:r>
          <m:rPr>
            <m:sty m:val="p"/>
          </m:rPr>
          <m:t>–</m:t>
        </m:r>
      </m:oMath>
      <w:r>
        <w:t xml:space="preserve">117 range —</w:t>
      </w:r>
      <w:r>
        <w:t xml:space="preserve"> </w:t>
      </w:r>
      <w:r>
        <w:rPr>
          <w:b/>
          <w:bCs/>
        </w:rPr>
        <w:t xml:space="preserve">below the current ~$123 price.</w:t>
      </w:r>
    </w:p>
    <w:p>
      <w:r>
        <w:pict>
          <v:rect style="width:0;height:1.5pt" o:hralign="center" o:hrstd="t" o:hr="t"/>
        </w:pict>
      </w:r>
    </w:p>
    <w:bookmarkEnd w:id="17"/>
    <w:bookmarkStart w:id="19" w:name="stock-setup-into-the-print"/>
    <w:p>
      <w:pPr>
        <w:pStyle w:val="Heading2"/>
      </w:pPr>
      <w:r>
        <w:t xml:space="preserve">Stock setup into the print</w:t>
      </w:r>
    </w:p>
    <w:p>
      <w:pPr>
        <w:pStyle w:val="FirstParagraph"/>
      </w:pPr>
      <w:r>
        <w:t xml:space="preserve">PRU has quietly become a comeback story in 2026. The stock cratered from ~</w:t>
      </w:r>
      <m:oMath>
        <m:r>
          <m:t>111</m:t>
        </m:r>
        <m:r>
          <m:t>t</m:t>
        </m:r>
        <m:r>
          <m:t>o</m:t>
        </m:r>
        <m:r>
          <m:t>t</m:t>
        </m:r>
        <m:r>
          <m:t>h</m:t>
        </m:r>
        <m:r>
          <m:t>e</m:t>
        </m:r>
        <m:r>
          <m:t>l</m:t>
        </m:r>
        <m:r>
          <m:t>o</m:t>
        </m:r>
        <m:r>
          <m:t>w</m:t>
        </m:r>
        <m:r>
          <m:rPr>
            <m:sty m:val="p"/>
          </m:rPr>
          <m:t>−</m:t>
        </m:r>
      </m:oMath>
      <w:r>
        <w:t xml:space="preserve">90s after the Japan misconduct disclosure broke in early February, but has since rallied hard to ~$123.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PRU</w:t>
            </w:r>
          </w:p>
        </w:tc>
        <w:tc>
          <w:tcPr/>
          <w:p>
            <w:pPr>
              <w:pStyle w:val="Compact"/>
            </w:pPr>
            <w:r>
              <w:t xml:space="preserve">Note</w:t>
            </w:r>
          </w:p>
        </w:tc>
      </w:tr>
      <w:tr>
        <w:tc>
          <w:tcPr/>
          <w:p>
            <w:pPr>
              <w:pStyle w:val="Compact"/>
            </w:pPr>
            <w:r>
              <w:t xml:space="preserve">Jan 2</w:t>
            </w:r>
          </w:p>
        </w:tc>
        <w:tc>
          <w:tcPr/>
          <w:p>
            <w:pPr>
              <w:pStyle w:val="Compact"/>
            </w:pPr>
            <w:r>
              <w:t xml:space="preserve">$113.87</w:t>
            </w:r>
          </w:p>
        </w:tc>
        <w:tc>
          <w:tcPr/>
          <w:p>
            <w:pPr>
              <w:pStyle w:val="Compact"/>
            </w:pPr>
            <w:r>
              <w:t xml:space="preserve">Start of year</w:t>
            </w:r>
          </w:p>
        </w:tc>
      </w:tr>
      <w:tr>
        <w:tc>
          <w:tcPr/>
          <w:p>
            <w:pPr>
              <w:pStyle w:val="Compact"/>
            </w:pPr>
            <w:r>
              <w:t xml:space="preserve">Feb 4–5</w:t>
            </w:r>
          </w:p>
        </w:tc>
        <w:tc>
          <w:tcPr/>
          <w:p>
            <w:pPr>
              <w:pStyle w:val="Compact"/>
            </w:pPr>
            <w:r>
              <w:t xml:space="preserve">~$102 → $99.82</w:t>
            </w:r>
          </w:p>
        </w:tc>
        <w:tc>
          <w:tcPr/>
          <w:p>
            <w:pPr>
              <w:pStyle w:val="Compact"/>
            </w:pPr>
            <w:r>
              <w:t xml:space="preserve">Japan misconduct / Q4 print</w:t>
            </w:r>
          </w:p>
        </w:tc>
      </w:tr>
      <w:tr>
        <w:tc>
          <w:tcPr/>
          <w:p>
            <w:pPr>
              <w:pStyle w:val="Compact"/>
            </w:pPr>
            <w:r>
              <w:t xml:space="preserve">Mar 13</w:t>
            </w:r>
          </w:p>
        </w:tc>
        <w:tc>
          <w:tcPr/>
          <w:p>
            <w:pPr>
              <w:pStyle w:val="Compact"/>
            </w:pPr>
            <w:r>
              <w:t xml:space="preserve">$92.00</w:t>
            </w:r>
          </w:p>
        </w:tc>
        <w:tc>
          <w:tcPr/>
          <w:p>
            <w:pPr>
              <w:pStyle w:val="Compact"/>
            </w:pPr>
            <w:r>
              <w:t xml:space="preserve">YTD low</w:t>
            </w:r>
          </w:p>
        </w:tc>
      </w:tr>
      <w:tr>
        <w:tc>
          <w:tcPr/>
          <w:p>
            <w:pPr>
              <w:pStyle w:val="Compact"/>
            </w:pPr>
            <w:r>
              <w:t xml:space="preserve">Aug 3</w:t>
            </w:r>
          </w:p>
        </w:tc>
        <w:tc>
          <w:tcPr/>
          <w:p>
            <w:pPr>
              <w:pStyle w:val="Compact"/>
            </w:pPr>
            <w:r>
              <w:rPr>
                <w:b/>
                <w:bCs/>
              </w:rPr>
              <w:t xml:space="preserve">$123.01</w:t>
            </w:r>
          </w:p>
        </w:tc>
        <w:tc>
          <w:tcPr/>
          <w:p>
            <w:pPr>
              <w:pStyle w:val="Compact"/>
            </w:pPr>
            <w:r>
              <w:t xml:space="preserve">Pre-print</w:t>
            </w:r>
          </w:p>
        </w:tc>
      </w:tr>
    </w:tbl>
    <w:p>
      <w:pPr>
        <w:pStyle w:val="BodyText"/>
      </w:pPr>
      <w:r>
        <w:t xml:space="preserve">That's roughly</w:t>
      </w:r>
      <w:r>
        <w:t xml:space="preserve"> </w:t>
      </w:r>
      <w:r>
        <w:rPr>
          <w:b/>
          <w:bCs/>
        </w:rPr>
        <w:t xml:space="preserve">+8% YTD</w:t>
      </w:r>
      <w:r>
        <w:t xml:space="preserve"> </w:t>
      </w:r>
      <w:r>
        <w:t xml:space="preserve">and</w:t>
      </w:r>
      <w:r>
        <w:t xml:space="preserve"> </w:t>
      </w:r>
      <w:r>
        <w:rPr>
          <w:b/>
          <w:bCs/>
        </w:rPr>
        <w:t xml:space="preserve">~+34% off the March low</w:t>
      </w:r>
      <w:r>
        <w:t xml:space="preserve"> </w:t>
      </w:r>
      <w:r>
        <w:t xml:space="preserve">— meaning much of the "Japan is contained" thesis is now priced in, and expectations for the strategy reveal are elevated. Peer MET has followed a similar recovery path (~</w:t>
      </w:r>
      <m:oMath>
        <m:r>
          <m:t>80</m:t>
        </m:r>
        <m:r>
          <m:rPr>
            <m:sty m:val="p"/>
          </m:rPr>
          <m:t>→</m:t>
        </m:r>
        <m:r>
          <m:t> </m:t>
        </m:r>
      </m:oMath>
      <w:r>
        <w:t xml:space="preserve">96).</w:t>
      </w:r>
    </w:p>
    <w:p>
      <w:pPr>
        <w:pStyle w:val="BodyText"/>
      </w:pPr>
      <w:r>
        <w:rPr>
          <w:b/>
          <w:bCs/>
        </w:rPr>
        <w:t xml:space="preserve">Risk/reward framing:</w:t>
      </w:r>
      <w:r>
        <w:t xml:space="preserve"> </w:t>
      </w:r>
      <w:r>
        <w:t xml:space="preserve">With the stock near 52-week highs, a Hold-rated Street, and price targets below spot, the bar is high. The setup is asymmetric around the</w:t>
      </w:r>
      <w:r>
        <w:t xml:space="preserve"> </w:t>
      </w:r>
      <w:r>
        <w:rPr>
          <w:b/>
          <w:bCs/>
        </w:rPr>
        <w:t xml:space="preserve">strategy day</w:t>
      </w:r>
      <w:r>
        <w:t xml:space="preserve">, not the EPS number:</w:t>
      </w:r>
    </w:p>
    <w:p>
      <w:pPr>
        <w:pStyle w:val="Compact"/>
        <w:numPr>
          <w:ilvl w:val="0"/>
          <w:numId w:val="1007"/>
        </w:numPr>
      </w:pPr>
      <w:r>
        <w:rPr>
          <w:b/>
          <w:bCs/>
        </w:rPr>
        <w:t xml:space="preserve">Bull case:</w:t>
      </w:r>
      <w:r>
        <w:t xml:space="preserve"> </w:t>
      </w:r>
      <w:r>
        <w:t xml:space="preserve">a credible, quantified reformulation — concrete divestitures, a higher ROE target, faster PGIM margin path, and a bigger capital-return commitment — justifies the re-rating.</w:t>
      </w:r>
    </w:p>
    <w:p>
      <w:pPr>
        <w:pStyle w:val="Compact"/>
        <w:numPr>
          <w:ilvl w:val="0"/>
          <w:numId w:val="1007"/>
        </w:numPr>
      </w:pPr>
      <w:r>
        <w:rPr>
          <w:b/>
          <w:bCs/>
        </w:rPr>
        <w:t xml:space="preserve">Bear case:</w:t>
      </w:r>
      <w:r>
        <w:t xml:space="preserve"> </w:t>
      </w:r>
      <w:r>
        <w:t xml:space="preserve">the strategic update is incremental/vague (as with the "not needle-moving" exits so far), Japan drag steps up sequentially, and Group disability continues to leak — leaving a richly-priced stock exposed to a "sell the news" reaction.</w:t>
      </w:r>
    </w:p>
    <w:p>
      <w:r>
        <w:pict>
          <v:rect style="width:0;height:1.5pt" o:hralign="center" o:hrstd="t" o:hr="t"/>
        </w:pict>
      </w:r>
    </w:p>
    <w:bookmarkStart w:id="18" w:name="quick-checklist-for-the-call"/>
    <w:p>
      <w:pPr>
        <w:pStyle w:val="Heading3"/>
      </w:pPr>
      <w:r>
        <w:t xml:space="preserve">Quick checklist for the call</w:t>
      </w:r>
    </w:p>
    <w:p>
      <w:pPr>
        <w:pStyle w:val="Compact"/>
        <w:numPr>
          <w:ilvl w:val="0"/>
          <w:numId w:val="1008"/>
        </w:numPr>
      </w:pPr>
      <w:r>
        <w:rPr>
          <w:b/>
          <w:bCs/>
        </w:rPr>
        <w:t xml:space="preserve">Strategy:</w:t>
      </w:r>
      <w:r>
        <w:t xml:space="preserve"> </w:t>
      </w:r>
      <w:r>
        <w:t xml:space="preserve">concrete portfolio actions + new financial targets, or just refreshed guidance?</w:t>
      </w:r>
    </w:p>
    <w:p>
      <w:pPr>
        <w:pStyle w:val="Compact"/>
        <w:numPr>
          <w:ilvl w:val="0"/>
          <w:numId w:val="1008"/>
        </w:numPr>
      </w:pPr>
      <w:r>
        <w:rPr>
          <w:b/>
          <w:bCs/>
        </w:rPr>
        <w:t xml:space="preserve">Japan:</w:t>
      </w:r>
      <w:r>
        <w:t xml:space="preserve"> </w:t>
      </w:r>
      <w:r>
        <w:t xml:space="preserve">LP retention trend post-extension; confirmation of the $525–575M FY26 hit and no capital/dividend impact.</w:t>
      </w:r>
    </w:p>
    <w:p>
      <w:pPr>
        <w:pStyle w:val="Compact"/>
        <w:numPr>
          <w:ilvl w:val="0"/>
          <w:numId w:val="1008"/>
        </w:numPr>
      </w:pPr>
      <w:r>
        <w:rPr>
          <w:b/>
          <w:bCs/>
        </w:rPr>
        <w:t xml:space="preserve">PGIM:</w:t>
      </w:r>
      <w:r>
        <w:t xml:space="preserve"> </w:t>
      </w:r>
      <w:r>
        <w:t xml:space="preserve">flows (esp. private credit deployment) and margin progress toward 25–30%.</w:t>
      </w:r>
    </w:p>
    <w:p>
      <w:pPr>
        <w:pStyle w:val="Compact"/>
        <w:numPr>
          <w:ilvl w:val="0"/>
          <w:numId w:val="1008"/>
        </w:numPr>
      </w:pPr>
      <w:r>
        <w:rPr>
          <w:b/>
          <w:bCs/>
        </w:rPr>
        <w:t xml:space="preserve">Group disability</w:t>
      </w:r>
      <w:r>
        <w:t xml:space="preserve"> </w:t>
      </w:r>
      <w:r>
        <w:t xml:space="preserve">benefits ratio — contained within 83–87% or worsening?</w:t>
      </w:r>
    </w:p>
    <w:p>
      <w:pPr>
        <w:pStyle w:val="Compact"/>
        <w:numPr>
          <w:ilvl w:val="0"/>
          <w:numId w:val="1008"/>
        </w:numPr>
      </w:pPr>
      <w:r>
        <w:rPr>
          <w:b/>
          <w:bCs/>
        </w:rPr>
        <w:t xml:space="preserve">Retirement</w:t>
      </w:r>
      <w:r>
        <w:t xml:space="preserve"> </w:t>
      </w:r>
      <w:r>
        <w:t xml:space="preserve">run-rate (~$600M) and annuity sales durability amid RILA competition.</w:t>
      </w:r>
    </w:p>
    <w:p>
      <w:pPr>
        <w:pStyle w:val="Compact"/>
        <w:numPr>
          <w:ilvl w:val="0"/>
          <w:numId w:val="1008"/>
        </w:numPr>
      </w:pPr>
      <w:r>
        <w:rPr>
          <w:b/>
          <w:bCs/>
        </w:rPr>
        <w:t xml:space="preserve">Capital return</w:t>
      </w:r>
      <w:r>
        <w:t xml:space="preserve"> </w:t>
      </w:r>
      <w:r>
        <w:t xml:space="preserve">cadence and any buyback commentary.</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2026-08-04T02:07:33Z</dcterms:created>
  <dcterms:modified xsi:type="dcterms:W3CDTF">2026-08-04T02:07:33Z</dcterms:modified>
</cp:coreProperties>
</file>

<file path=docProps/custom.xml><?xml version="1.0" encoding="utf-8"?>
<Properties xmlns="http://schemas.openxmlformats.org/officeDocument/2006/custom-properties" xmlns:vt="http://schemas.openxmlformats.org/officeDocument/2006/docPropsVTypes"/>
</file>