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8-04"/>
    <w:p>
      <w:pPr>
        <w:pStyle w:val="Heading1"/>
      </w:pPr>
      <w:r>
        <w:t xml:space="preserve">PRU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~$3.48 vs. cons $3.42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~$14.25B vs. cons $14.15B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Insurance Benefit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~83.5% vs. cons 84.5%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~21-22% vs. cons ~22%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POJ Cumulative 2026 Pretax AOI Drag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550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550M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Corporate &amp; Other Segment Loss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720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650M (FY2026, H2-weighted)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Operating ROE Target (Strategic Update)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~16% vs. cons/current 15% (multi-year target)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(FADE)</w:t>
            </w:r>
          </w:p>
        </w:tc>
        <w:tc>
          <w:tcPr/>
          <w:p>
            <w:pPr>
              <w:pStyle w:val="Compact"/>
            </w:pPr>
            <w:r>
              <w:t xml:space="preserve">Stock has already rallied ~25% into the print pricing in Japan-remediation progress and a strong strategic reveal, so even a modest EPS beat and reiterated 2026 guidance offers limited fresh upside; the implicit 2027 POJ earnings drag (~$400-450M) and lingering alt-income/assumption-update noise give analysts room to trim out-period estimates even after an in-line-to-slight-beat quarter, while any lack of concrete new financial targets in the strategic update risks profit-taking after such a large run-up, pulling the stock back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2026-08-04T02:09:00Z</dcterms:created>
  <dcterms:modified xsi:type="dcterms:W3CDTF">2026-08-04T02:09:00Z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