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got useful data. Let me get more context on this and any other recent analyst commentary.Good, this confirms the Japan issue and the 2026/2027 EPS impact guidance. Let me try the price target search once more and also check for the "Strategy Update" plans mentioned for August call.# Prudential Financial (PRU) — Q2 2026 Earnings Preview</w:t>
      </w:r>
      <w:r>
        <w:t xml:space="preserve"> </w:t>
      </w:r>
      <w:r>
        <w:rPr>
          <w:b/>
          <w:bCs/>
        </w:rPr>
        <w:t xml:space="preserve">Reports:</w:t>
      </w:r>
      <w:r>
        <w:t xml:space="preserve"> </w:t>
      </w:r>
      <w:r>
        <w:t xml:space="preserve">Tuesday, August 4,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PRU shares have staged a strong rally into this report, climbing from roughly $98 in early May to over $123 by early August — a ~25% run over the past three months as investors have grown more comfortable with management's handling of the Prudential of Japan (POJ) misconduct fallout and its broader turnaround narrative. That run-up raises the bar for tomorrow's results and, more importantly, for the strategic update management has explicitly promised on this call.</w:t>
      </w:r>
    </w:p>
    <w:bookmarkEnd w:id="9"/>
    <w:bookmarkStart w:id="10" w:name="what-to-expect-on-the-numbers"/>
    <w:p>
      <w:pPr>
        <w:pStyle w:val="Heading2"/>
      </w:pPr>
      <w:r>
        <w:t xml:space="preserve">What to Expect on the Numbers</w:t>
      </w:r>
    </w:p>
    <w:p>
      <w:pPr>
        <w:pStyle w:val="FirstParagraph"/>
      </w:pPr>
      <w:r>
        <w:t xml:space="preserve">Wall Street consensus (Zacks) has revenue for the quarter at $14.15 billion (+4.7% y/y) and EPS at $3.42, which would represent a modest year-over-year decline. Notably, the Zacks Consensus Estimate for PRU's second-quarter revenues is pegged at $14.15 billion, indicating a 4.7% increase from the year-ago reported figure. The consensus estimate for the bottom line is pegged at $3.42 per share. The estimate suggests a year-over-year decrease of 4.4%. The Zacks Consensus Estimate for PRU's second-quarter earnings has moved north by 1.2% in the past 30 days. Estimate revisions have been trending positive, and the model-based Earnings ESP is positive as well, tilting the setup toward a possible beat, though headline EPS is still expected to be down y/y — largely a function of the Japan sales suspension drag layered on top of tougher comps.</w:t>
      </w:r>
    </w:p>
    <w:bookmarkEnd w:id="10"/>
    <w:bookmarkStart w:id="11" w:name="X0bfa50d0b1628b23b5bf4e9bf087986cbf08978"/>
    <w:p>
      <w:pPr>
        <w:pStyle w:val="Heading2"/>
      </w:pPr>
      <w:r>
        <w:t xml:space="preserve">Prudential Already Pre-Announced Several Q2 Items</w:t>
      </w:r>
    </w:p>
    <w:p>
      <w:pPr>
        <w:pStyle w:val="FirstParagraph"/>
      </w:pPr>
      <w:r>
        <w:t xml:space="preserve">Unusually, Prudential filed an 8-K on July 15 previewing several Q2 data points ahead of the print — investors should already be baking these into their models:</w:t>
      </w:r>
    </w:p>
    <w:p>
      <w:pPr>
        <w:pStyle w:val="Compact"/>
        <w:numPr>
          <w:ilvl w:val="0"/>
          <w:numId w:val="1001"/>
        </w:numPr>
      </w:pPr>
      <w:r>
        <w:rPr>
          <w:b/>
          <w:bCs/>
        </w:rPr>
        <w:t xml:space="preserve">PGIM AUM</w:t>
      </w:r>
      <w:r>
        <w:t xml:space="preserve">: $1.49 trillion as of June 30, 2026 — up from $1.433 trillion at Q1-end, reflecting market appreciation and continued momentum in private credit/fixed income.</w:t>
      </w:r>
    </w:p>
    <w:p>
      <w:pPr>
        <w:pStyle w:val="Compact"/>
        <w:numPr>
          <w:ilvl w:val="0"/>
          <w:numId w:val="1001"/>
        </w:numPr>
      </w:pPr>
      <w:r>
        <w:rPr>
          <w:b/>
          <w:bCs/>
        </w:rPr>
        <w:t xml:space="preserve">PGIM other related revenues</w:t>
      </w:r>
      <w:r>
        <w:t xml:space="preserve"> </w:t>
      </w:r>
      <w:r>
        <w:t xml:space="preserve">(incentive/transaction fees, seed/co-investment, mortgage origination): ~$60 million on an AOI basis for the quarter.</w:t>
      </w:r>
    </w:p>
    <w:p>
      <w:pPr>
        <w:pStyle w:val="Compact"/>
        <w:numPr>
          <w:ilvl w:val="0"/>
          <w:numId w:val="1001"/>
        </w:numPr>
      </w:pPr>
      <w:r>
        <w:rPr>
          <w:b/>
          <w:bCs/>
        </w:rPr>
        <w:t xml:space="preserve">Alternative investment income</w:t>
      </w:r>
      <w:r>
        <w:t xml:space="preserve"> </w:t>
      </w:r>
      <w:r>
        <w:t xml:space="preserve">in the General Account is expected to come in</w:t>
      </w:r>
      <w:r>
        <w:t xml:space="preserve"> </w:t>
      </w:r>
      <w:r>
        <w:rPr>
          <w:b/>
          <w:bCs/>
        </w:rPr>
        <w:t xml:space="preserve">$20–40 million below near-term expectations</w:t>
      </w:r>
      <w:r>
        <w:t xml:space="preserve"> </w:t>
      </w:r>
      <w:r>
        <w:t xml:space="preserve">— a modest negative surprise for spread-based segments (Retirement, Individual Life).</w:t>
      </w:r>
    </w:p>
    <w:p>
      <w:pPr>
        <w:pStyle w:val="Compact"/>
        <w:numPr>
          <w:ilvl w:val="0"/>
          <w:numId w:val="1001"/>
        </w:numPr>
      </w:pPr>
      <w:r>
        <w:rPr>
          <w:b/>
          <w:bCs/>
        </w:rPr>
        <w:t xml:space="preserve">Annual actuarial assumption update</w:t>
      </w:r>
      <w:r>
        <w:t xml:space="preserve"> </w:t>
      </w:r>
      <w:r>
        <w:t xml:space="preserve">(performed every Q2): expected one-time AOI impacts by segment are **Retirement –</w:t>
      </w:r>
      <m:oMath>
        <m:r>
          <m:t>90</m:t>
        </m:r>
        <m:r>
          <m:t>M</m:t>
        </m:r>
        <m:r>
          <m:rPr>
            <m:sty m:val="p"/>
          </m:rPr>
          <m:t>,</m:t>
        </m:r>
        <m:r>
          <m:t>I</m:t>
        </m:r>
        <m:r>
          <m:t>n</m:t>
        </m:r>
        <m:r>
          <m:t>t</m:t>
        </m:r>
        <m:r>
          <m:t>e</m:t>
        </m:r>
        <m:r>
          <m:t>r</m:t>
        </m:r>
        <m:r>
          <m:t>n</m:t>
        </m:r>
        <m:r>
          <m:t>a</m:t>
        </m:r>
        <m:r>
          <m:t>t</m:t>
        </m:r>
        <m:r>
          <m:t>i</m:t>
        </m:r>
        <m:r>
          <m:t>o</m:t>
        </m:r>
        <m:r>
          <m:t>n</m:t>
        </m:r>
        <m:r>
          <m:t>a</m:t>
        </m:r>
        <m:r>
          <m:t>l</m:t>
        </m:r>
        <m:r>
          <m:t>B</m:t>
        </m:r>
        <m:r>
          <m:t>u</m:t>
        </m:r>
        <m:r>
          <m:t>s</m:t>
        </m:r>
        <m:r>
          <m:t>i</m:t>
        </m:r>
        <m:r>
          <m:t>n</m:t>
        </m:r>
        <m:r>
          <m:t>e</m:t>
        </m:r>
        <m:r>
          <m:t>s</m:t>
        </m:r>
        <m:r>
          <m:t>s</m:t>
        </m:r>
        <m:r>
          <m:t>e</m:t>
        </m:r>
        <m:r>
          <m:t>s</m:t>
        </m:r>
        <m:r>
          <m:rPr>
            <m:sty m:val="p"/>
          </m:rPr>
          <m:t>+</m:t>
        </m:r>
      </m:oMath>
      <w:r>
        <w:t xml:space="preserve">80M, Group Insurance +</w:t>
      </w:r>
      <m:oMath>
        <m:r>
          <m:t>30</m:t>
        </m:r>
        <m:r>
          <m:t>M</m:t>
        </m:r>
        <m:r>
          <m:rPr>
            <m:sty m:val="p"/>
          </m:rPr>
          <m:t>,</m:t>
        </m:r>
        <m:r>
          <m:t>I</m:t>
        </m:r>
        <m:r>
          <m:t>n</m:t>
        </m:r>
        <m:r>
          <m:t>d</m:t>
        </m:r>
        <m:r>
          <m:t>i</m:t>
        </m:r>
        <m:r>
          <m:t>v</m:t>
        </m:r>
        <m:r>
          <m:t>i</m:t>
        </m:r>
        <m:r>
          <m:t>d</m:t>
        </m:r>
        <m:r>
          <m:t>u</m:t>
        </m:r>
        <m:r>
          <m:t>a</m:t>
        </m:r>
        <m:r>
          <m:t>l</m:t>
        </m:r>
        <m:r>
          <m:t>L</m:t>
        </m:r>
        <m:r>
          <m:t>i</m:t>
        </m:r>
        <m:r>
          <m:t>f</m:t>
        </m:r>
        <m:r>
          <m:t>e</m:t>
        </m:r>
        <m:r>
          <m:rPr>
            <m:sty m:val="p"/>
          </m:rPr>
          <m:t>+</m:t>
        </m:r>
      </m:oMath>
      <w:r>
        <w:t xml:space="preserve">30M, U.S. Legacy Products +</w:t>
      </w:r>
      <m:oMath>
        <m:r>
          <m:t>15</m:t>
        </m:r>
        <m:r>
          <m:t>M</m:t>
        </m:r>
        <m:r>
          <m:rPr>
            <m:sty m:val="p"/>
          </m:rPr>
          <m:t>*</m:t>
        </m:r>
        <m:r>
          <m:rPr>
            <m:sty m:val="p"/>
          </m:rPr>
          <m:t>*</m:t>
        </m:r>
        <m:r>
          <m:rPr>
            <m:sty m:val="p"/>
          </m:rPr>
          <m:t>—</m:t>
        </m:r>
        <m:r>
          <m:t>n</m:t>
        </m:r>
        <m:r>
          <m:t>e</m:t>
        </m:r>
        <m:r>
          <m:t>t</m:t>
        </m:r>
        <m:r>
          <m:t>t</m:t>
        </m:r>
        <m:r>
          <m:t>i</m:t>
        </m:r>
        <m:r>
          <m:t>n</m:t>
        </m:r>
        <m:r>
          <m:t>g</m:t>
        </m:r>
        <m:r>
          <m:t>t</m:t>
        </m:r>
        <m:r>
          <m:t>o</m:t>
        </m:r>
        <m:r>
          <m:t>r</m:t>
        </m:r>
        <m:r>
          <m:t>o</m:t>
        </m:r>
        <m:r>
          <m:t>u</m:t>
        </m:r>
        <m:r>
          <m:t>g</m:t>
        </m:r>
        <m:r>
          <m:t>h</m:t>
        </m:r>
        <m:r>
          <m:t>l</m:t>
        </m:r>
        <m:r>
          <m:t>y</m:t>
        </m:r>
        <m:r>
          <m:rPr>
            <m:sty m:val="p"/>
          </m:rPr>
          <m:t>+</m:t>
        </m:r>
      </m:oMath>
      <w:r>
        <w:t xml:space="preserve">65M company-wide, but with meaningful segment-level noise that analysts will need to strip out to assess underlying trends. Management stated no material</w:t>
      </w:r>
      <w:r>
        <w:t xml:space="preserve"> </w:t>
      </w:r>
      <w:r>
        <w:rPr>
          <w:i/>
          <w:iCs/>
        </w:rPr>
        <w:t xml:space="preserve">ongoing</w:t>
      </w:r>
      <w:r>
        <w:t xml:space="preserve"> </w:t>
      </w:r>
      <w:r>
        <w:t xml:space="preserve">impact is expected from these updates.</w:t>
      </w:r>
    </w:p>
    <w:p>
      <w:pPr>
        <w:pStyle w:val="FirstParagraph"/>
      </w:pPr>
      <w:r>
        <w:t xml:space="preserve">These disclosures mean the "clean" quarter will require normalizing for both the alt-income shortfall and the assumption-update puts and takes.</w:t>
      </w:r>
    </w:p>
    <w:bookmarkEnd w:id="11"/>
    <w:bookmarkStart w:id="12" w:name="the-overhang-prudential-of-japan"/>
    <w:p>
      <w:pPr>
        <w:pStyle w:val="Heading2"/>
      </w:pPr>
      <w:r>
        <w:t xml:space="preserve">The Overhang: Prudential of Japan</w:t>
      </w:r>
    </w:p>
    <w:p>
      <w:pPr>
        <w:pStyle w:val="FirstParagraph"/>
      </w:pPr>
      <w:r>
        <w:t xml:space="preserve">The dominant swing factor remains the voluntary sales suspension at Prudential of Japan (POJ), triggered by employee misconduct (unauthorized "borrowing" from and investment referrals to customers by Life Planners). Key facts:</w:t>
      </w:r>
    </w:p>
    <w:p>
      <w:pPr>
        <w:pStyle w:val="Compact"/>
        <w:numPr>
          <w:ilvl w:val="0"/>
          <w:numId w:val="1002"/>
        </w:numPr>
      </w:pPr>
      <w:r>
        <w:t xml:space="preserve">The suspension was extended through</w:t>
      </w:r>
      <w:r>
        <w:t xml:space="preserve"> </w:t>
      </w:r>
      <w:r>
        <w:rPr>
          <w:b/>
          <w:bCs/>
        </w:rPr>
        <w:t xml:space="preserve">November 5, 2026</w:t>
      </w:r>
      <w:r>
        <w:t xml:space="preserve">. As reported: Prudential Financial has extended the voluntary suspension of new business at its Japan unit for another 180 days, pushing the expected end of the freeze to November 2026... the aggregate hit to 2026 pre-tax adjusted operating income will be approximately $525m to $575m, with roughly $400m to $450m of pre-tax adjusted operating income impact expected in 2027 as sales ramp back up.</w:t>
      </w:r>
    </w:p>
    <w:p>
      <w:pPr>
        <w:pStyle w:val="Compact"/>
        <w:numPr>
          <w:ilvl w:val="0"/>
          <w:numId w:val="1002"/>
        </w:numPr>
      </w:pPr>
      <w:r>
        <w:t xml:space="preserve">On the Q1 call, CFO Yanela del Frias detailed that ~90% of POJ earnings come from in-force business, and the company is modeling a</w:t>
      </w:r>
      <w:r>
        <w:t xml:space="preserve"> </w:t>
      </w:r>
      <w:r>
        <w:rPr>
          <w:b/>
          <w:bCs/>
        </w:rPr>
        <w:t xml:space="preserve">10% earnings-power reduction in 2026 and an additional 5% in 2027 (15% cumulative)</w:t>
      </w:r>
      <w:r>
        <w:t xml:space="preserve">, with no material impact expected to capital, ESR, or free cash flow given differences between Japanese statutory and GAAP accounting.</w:t>
      </w:r>
    </w:p>
    <w:p>
      <w:pPr>
        <w:pStyle w:val="Compact"/>
        <w:numPr>
          <w:ilvl w:val="0"/>
          <w:numId w:val="1002"/>
        </w:numPr>
      </w:pPr>
      <w:r>
        <w:t xml:space="preserve">A</w:t>
      </w:r>
      <w:r>
        <w:t xml:space="preserve"> </w:t>
      </w:r>
      <w:r>
        <w:rPr>
          <w:b/>
          <w:bCs/>
        </w:rPr>
        <w:t xml:space="preserve">July 24 customer-reimbursement update</w:t>
      </w:r>
      <w:r>
        <w:t xml:space="preserve"> </w:t>
      </w:r>
      <w:r>
        <w:t xml:space="preserve">showed steady progress: of 498 originally identified individuals affected by monetary misconduct, review/reimbursement had been completed for 437 people (representing the large majority of the ¥3.08 billion in claims), with a smaller pool of newer inquiries also being processed. This is incrementally reassuring on the scope and containment of the issue, though the Q2 call will be watched for any signs of new disclosures (the Gibraltar Life bank-channel "secondment" issue was flagged last quarter as a separate, smaller matter management says it is "navigating just fine").</w:t>
      </w:r>
    </w:p>
    <w:p>
      <w:pPr>
        <w:pStyle w:val="Compact"/>
        <w:numPr>
          <w:ilvl w:val="0"/>
          <w:numId w:val="1002"/>
        </w:numPr>
      </w:pPr>
      <w:r>
        <w:t xml:space="preserve">Watch for updated Life Planner headcount/retention trends (down &lt;1% at Q1) and any change to the assumed sales ramp (no sales through Nov. 5, gradual ramp through 2027 to ~50% average LP productivity).</w:t>
      </w:r>
    </w:p>
    <w:bookmarkEnd w:id="12"/>
    <w:bookmarkStart w:id="13" w:name="segment-themes-to-watch"/>
    <w:p>
      <w:pPr>
        <w:pStyle w:val="Heading2"/>
      </w:pPr>
      <w:r>
        <w:t xml:space="preserve">Segment Themes to Watch</w:t>
      </w:r>
    </w:p>
    <w:p>
      <w:pPr>
        <w:pStyle w:val="Compact"/>
        <w:numPr>
          <w:ilvl w:val="0"/>
          <w:numId w:val="1003"/>
        </w:numPr>
      </w:pPr>
      <w:r>
        <w:rPr>
          <w:b/>
          <w:bCs/>
        </w:rPr>
        <w:t xml:space="preserve">PGIM</w:t>
      </w:r>
      <w:r>
        <w:t xml:space="preserve">: On track for ~</w:t>
      </w:r>
      <m:oMath>
        <m:r>
          <m:t>100</m:t>
        </m:r>
        <m:r>
          <m:t>M</m:t>
        </m:r>
        <m:r>
          <m:t>o</m:t>
        </m:r>
        <m:r>
          <m:t>f</m:t>
        </m:r>
        <m:r>
          <m:t>g</m:t>
        </m:r>
        <m:r>
          <m:t>r</m:t>
        </m:r>
        <m:r>
          <m:t>o</m:t>
        </m:r>
        <m:r>
          <m:t>s</m:t>
        </m:r>
        <m:r>
          <m:t>s</m:t>
        </m:r>
        <m:r>
          <m:t>r</m:t>
        </m:r>
        <m:r>
          <m:t>u</m:t>
        </m:r>
        <m:r>
          <m:t>n</m:t>
        </m:r>
        <m:r>
          <m:rPr>
            <m:sty m:val="p"/>
          </m:rPr>
          <m:t>−</m:t>
        </m:r>
        <m:r>
          <m:t>r</m:t>
        </m:r>
        <m:r>
          <m:t>a</m:t>
        </m:r>
        <m:r>
          <m:t>t</m:t>
        </m:r>
        <m:r>
          <m:t>e</m:t>
        </m:r>
        <m:r>
          <m:t>e</m:t>
        </m:r>
        <m:r>
          <m:t>x</m:t>
        </m:r>
        <m:r>
          <m:t>p</m:t>
        </m:r>
        <m:r>
          <m:t>e</m:t>
        </m:r>
        <m:r>
          <m:t>n</m:t>
        </m:r>
        <m:r>
          <m:t>s</m:t>
        </m:r>
        <m:r>
          <m:t>e</m:t>
        </m:r>
        <m:r>
          <m:t>s</m:t>
        </m:r>
        <m:r>
          <m:t>a</m:t>
        </m:r>
        <m:r>
          <m:t>v</m:t>
        </m:r>
        <m:r>
          <m:t>i</m:t>
        </m:r>
        <m:r>
          <m:t>n</m:t>
        </m:r>
        <m:r>
          <m:t>g</m:t>
        </m:r>
        <m:r>
          <m:t>s</m:t>
        </m:r>
        <m:r>
          <m:t>a</m:t>
        </m:r>
        <m:r>
          <m:t>n</m:t>
        </m:r>
        <m:r>
          <m:t>d</m:t>
        </m:r>
        <m:r>
          <m:t>200</m:t>
        </m:r>
        <m:r>
          <m:rPr>
            <m:sty m:val="p"/>
          </m:rPr>
          <m:t>+</m:t>
        </m:r>
        <m:r>
          <m:t>b</m:t>
        </m:r>
        <m:r>
          <m:t>p</m:t>
        </m:r>
        <m:r>
          <m:t>s</m:t>
        </m:r>
        <m:r>
          <m:t>o</m:t>
        </m:r>
        <m:r>
          <m:t>f</m:t>
        </m:r>
        <m:r>
          <m:t>m</m:t>
        </m:r>
        <m:r>
          <m:t>a</m:t>
        </m:r>
        <m:r>
          <m:t>r</m:t>
        </m:r>
        <m:r>
          <m:t>g</m:t>
        </m:r>
        <m:r>
          <m:t>i</m:t>
        </m:r>
        <m:r>
          <m:t>n</m:t>
        </m:r>
        <m:r>
          <m:t>e</m:t>
        </m:r>
        <m:r>
          <m:t>x</m:t>
        </m:r>
        <m:r>
          <m:t>p</m:t>
        </m:r>
        <m:r>
          <m:t>a</m:t>
        </m:r>
        <m:r>
          <m:t>n</m:t>
        </m:r>
        <m:r>
          <m:t>s</m:t>
        </m:r>
        <m:r>
          <m:t>i</m:t>
        </m:r>
        <m:r>
          <m:t>o</m:t>
        </m:r>
        <m:r>
          <m:t>n</m:t>
        </m:r>
        <m:r>
          <m:t>i</m:t>
        </m:r>
        <m:r>
          <m:t>n</m:t>
        </m:r>
        <m:r>
          <m:t>2026</m:t>
        </m:r>
        <m:r>
          <m:rPr>
            <m:sty m:val="p"/>
          </m:rPr>
          <m:t>(</m:t>
        </m:r>
        <m:r>
          <m:t>t</m:t>
        </m:r>
        <m:r>
          <m:t>o</m:t>
        </m:r>
        <m:r>
          <m:t>w</m:t>
        </m:r>
        <m:r>
          <m:t>a</m:t>
        </m:r>
        <m:r>
          <m:t>r</m:t>
        </m:r>
        <m:r>
          <m:t>d</m:t>
        </m:r>
        <m:r>
          <m:t>a</m:t>
        </m:r>
        <m:r>
          <m:t>25</m:t>
        </m:r>
        <m:r>
          <m:rPr>
            <m:sty m:val="p"/>
          </m:rPr>
          <m:t>–</m:t>
        </m:r>
        <m:r>
          <m:t>30</m:t>
        </m:r>
      </m:oMath>
      <w:r>
        <w:t xml:space="preserve">30B AUM) are the standout growth engines.</w:t>
      </w:r>
    </w:p>
    <w:p>
      <w:pPr>
        <w:pStyle w:val="Compact"/>
        <w:numPr>
          <w:ilvl w:val="0"/>
          <w:numId w:val="1003"/>
        </w:numPr>
      </w:pPr>
      <w:r>
        <w:rPr>
          <w:b/>
          <w:bCs/>
        </w:rPr>
        <w:t xml:space="preserve">Retirement</w:t>
      </w:r>
      <w:r>
        <w:t xml:space="preserve">: Q1 AOI grew 9% y/y to</w:t>
      </w:r>
      <w:r>
        <w:t xml:space="preserve"> </w:t>
      </w:r>
      <m:oMath>
        <m:r>
          <m:t>572</m:t>
        </m:r>
        <m:r>
          <m:t>M</m:t>
        </m:r>
        <m:r>
          <m:rPr>
            <m:sty m:val="p"/>
          </m:rPr>
          <m:t>,</m:t>
        </m:r>
        <m:r>
          <m:t>a</m:t>
        </m:r>
        <m:r>
          <m:t>i</m:t>
        </m:r>
        <m:r>
          <m:t>d</m:t>
        </m:r>
        <m:r>
          <m:t>e</m:t>
        </m:r>
        <m:r>
          <m:t>d</m:t>
        </m:r>
        <m:r>
          <m:t>b</m:t>
        </m:r>
        <m:r>
          <m:t>y</m:t>
        </m:r>
        <m:r>
          <m:t> </m:t>
        </m:r>
      </m:oMath>
      <w:r>
        <w:t xml:space="preserve">25M of episodic prepayment income (management suggested a run-rate closer to ~$600M ex-noise). RILA competition remains intense (FlexGuard 2.0 driving best RILA quarter in over a year), and PRT jumbo deal activity has been slow but management expects a typical second-half pickup.</w:t>
      </w:r>
    </w:p>
    <w:p>
      <w:pPr>
        <w:pStyle w:val="Compact"/>
        <w:numPr>
          <w:ilvl w:val="0"/>
          <w:numId w:val="1003"/>
        </w:numPr>
      </w:pPr>
      <w:r>
        <w:rPr>
          <w:b/>
          <w:bCs/>
        </w:rPr>
        <w:t xml:space="preserve">Group Insurance</w:t>
      </w:r>
      <w:r>
        <w:t xml:space="preserve">: Benefit ratio rose to 83.7% (within the 83–87% target range) on weaker disability incidence/severity tied to macro job-loss uncertainty; life underwriting was a partial offset. This line is a key swing factor to monitor for continued normalization.</w:t>
      </w:r>
    </w:p>
    <w:p>
      <w:pPr>
        <w:pStyle w:val="Compact"/>
        <w:numPr>
          <w:ilvl w:val="0"/>
          <w:numId w:val="1003"/>
        </w:numPr>
      </w:pPr>
      <w:r>
        <w:rPr>
          <w:b/>
          <w:bCs/>
        </w:rPr>
        <w:t xml:space="preserve">Individual Life</w:t>
      </w:r>
      <w:r>
        <w:t xml:space="preserve">: Strength continues post re-segmentation of GUL into the new U.S. Legacy Products segment — Q1 AOI of $139M more than doubled y/y, with a record Q1 sales quarter.</w:t>
      </w:r>
    </w:p>
    <w:p>
      <w:pPr>
        <w:pStyle w:val="Compact"/>
        <w:numPr>
          <w:ilvl w:val="0"/>
          <w:numId w:val="1003"/>
        </w:numPr>
      </w:pPr>
      <w:r>
        <w:rPr>
          <w:b/>
          <w:bCs/>
        </w:rPr>
        <w:t xml:space="preserve">U.S. Legacy Products</w:t>
      </w:r>
      <w:r>
        <w:t xml:space="preserve"> </w:t>
      </w:r>
      <w:r>
        <w:t xml:space="preserve">(new segment): Includes runoff traditional VA and GUL blocks; GAAP losses in GUL reflect front-loaded reserve build that should reverse over time — watch for any additional reserve commentary or stat-basis adequacy discussion.</w:t>
      </w:r>
    </w:p>
    <w:p>
      <w:pPr>
        <w:pStyle w:val="Compact"/>
        <w:numPr>
          <w:ilvl w:val="0"/>
          <w:numId w:val="1003"/>
        </w:numPr>
      </w:pPr>
      <w:r>
        <w:rPr>
          <w:b/>
          <w:bCs/>
        </w:rPr>
        <w:t xml:space="preserve">International ex-Japan</w:t>
      </w:r>
      <w:r>
        <w:t xml:space="preserve">: Brazil remains a bright spot with record earnings; broader emerging-markets diversification (Mercado Libre partnership surpassing 1.2 million policies) continues to offset Japan weakness.</w:t>
      </w:r>
    </w:p>
    <w:p>
      <w:pPr>
        <w:pStyle w:val="Compact"/>
        <w:numPr>
          <w:ilvl w:val="0"/>
          <w:numId w:val="1003"/>
        </w:numPr>
      </w:pPr>
      <w:r>
        <w:rPr>
          <w:b/>
          <w:bCs/>
        </w:rPr>
        <w:t xml:space="preserve">Corporate &amp; Other</w:t>
      </w:r>
      <w:r>
        <w:t xml:space="preserve">: Full-year 2026 loss guidance was reiterated at Q1 (~heavier in H2), alongside a lowered full-year tax-rate guidance range of</w:t>
      </w:r>
      <w:r>
        <w:t xml:space="preserve"> </w:t>
      </w:r>
      <w:r>
        <w:rPr>
          <w:b/>
          <w:bCs/>
        </w:rPr>
        <w:t xml:space="preserve">21–22%</w:t>
      </w:r>
      <w:r>
        <w:t xml:space="preserve"> </w:t>
      </w:r>
      <w:r>
        <w:t xml:space="preserve">(down from 23–24%), partly reflecting lower expected Japan earnings and portfolio repositioning.</w:t>
      </w:r>
    </w:p>
    <w:bookmarkEnd w:id="13"/>
    <w:bookmarkStart w:id="14" w:name="the-big-story-strategic-update"/>
    <w:p>
      <w:pPr>
        <w:pStyle w:val="Heading2"/>
      </w:pPr>
      <w:r>
        <w:t xml:space="preserve">The Big Story: Strategic Update</w:t>
      </w:r>
    </w:p>
    <w:p>
      <w:pPr>
        <w:pStyle w:val="FirstParagraph"/>
      </w:pPr>
      <w:r>
        <w:t xml:space="preserve">The single biggest reason this print carries extra weight is that CEO Andy Sullivan explicitly told investors on the Q1 call that management would</w:t>
      </w:r>
      <w:r>
        <w:t xml:space="preserve"> </w:t>
      </w:r>
      <w:r>
        <w:rPr>
          <w:b/>
          <w:bCs/>
        </w:rPr>
        <w:t xml:space="preserve">"share more details on Prudential's long-term vision and strategy on our second quarter call in August."</w:t>
      </w:r>
      <w:r>
        <w:t xml:space="preserve"> </w:t>
      </w:r>
      <w:r>
        <w:t xml:space="preserve">This follows a year of incremental portfolio pruning (exits from PGIM Taiwan/India, and insurance operations in Kenya and Indonesia) that Sullivan himself characterized as directionally right but "not particularly needle-moving." Investors should expect:</w:t>
      </w:r>
    </w:p>
    <w:p>
      <w:pPr>
        <w:pStyle w:val="Compact"/>
        <w:numPr>
          <w:ilvl w:val="0"/>
          <w:numId w:val="1004"/>
        </w:numPr>
      </w:pPr>
      <w:r>
        <w:t xml:space="preserve">A clearer articulation of which businesses/geographies Prudential views as core (Retirement, PGIM/asset management, U.S. insurance) versus non-core.</w:t>
      </w:r>
    </w:p>
    <w:p>
      <w:pPr>
        <w:pStyle w:val="Compact"/>
        <w:numPr>
          <w:ilvl w:val="0"/>
          <w:numId w:val="1004"/>
        </w:numPr>
      </w:pPr>
      <w:r>
        <w:t xml:space="preserve">Possible new medium-term financial targets (ROE, margin, capital deployment) given the current 15% adjusted operating ROE and mid-teens ROE target cited on the Q1 call.</w:t>
      </w:r>
    </w:p>
    <w:p>
      <w:pPr>
        <w:pStyle w:val="Compact"/>
        <w:numPr>
          <w:ilvl w:val="0"/>
          <w:numId w:val="1004"/>
        </w:numPr>
      </w:pPr>
      <w:r>
        <w:t xml:space="preserve">Updates on capital allocation — buybacks ($250M in Q1) and the $1.40/share dividend (&gt;5% yield on adjusted book value) have continued uninterrupted through the Japan disruption, and management has said it does not expect POJ to change the pace of shareholder distributions.</w:t>
      </w:r>
    </w:p>
    <w:p>
      <w:pPr>
        <w:pStyle w:val="Compact"/>
        <w:numPr>
          <w:ilvl w:val="0"/>
          <w:numId w:val="1004"/>
        </w:numPr>
      </w:pPr>
      <w:r>
        <w:t xml:space="preserve">Further detail on Prismic, the sponsored reinsurance vehicle, which executed its first third-party transaction with Daiichi in Q1 and is viewed as a growth funnel for both balance-sheet optimization and PGIM asset flows.</w:t>
      </w:r>
    </w:p>
    <w:bookmarkEnd w:id="14"/>
    <w:bookmarkStart w:id="15" w:name="bottom-line-for-investors"/>
    <w:p>
      <w:pPr>
        <w:pStyle w:val="Heading2"/>
      </w:pPr>
      <w:r>
        <w:t xml:space="preserve">Bottom Line for Investors</w:t>
      </w:r>
    </w:p>
    <w:p>
      <w:pPr>
        <w:pStyle w:val="FirstParagraph"/>
      </w:pPr>
      <w:r>
        <w:t xml:space="preserve">Going into the print, PRU trades near multi-month highs, up sharply since Q1 results, suggesting the market has largely priced in continued progress on Japan remediation and is looking past the near-term EPS drag. The key swing factors for the stock reaction are likely to be (1) whether underlying (ex-items) earnings in Retirement, Individual Life, and PGIM show continued momentum consistent with Q1's "improving consistency and discipline" narrative, (2) whether Group Disability underwriting stabilizes within its target range, and — most importantly — (3) the substance of the strategic/long-term vision update, which could be a bigger share-price catalyst than the quarterly numbers themselves given how explicitly management has set up this call as a strategic reveal.</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2026-08-04T02:08:59Z</dcterms:created>
  <dcterms:modified xsi:type="dcterms:W3CDTF">2026-08-04T02:08:59Z</dcterms:modified>
</cp:coreProperties>
</file>

<file path=docProps/custom.xml><?xml version="1.0" encoding="utf-8"?>
<Properties xmlns="http://schemas.openxmlformats.org/officeDocument/2006/custom-properties" xmlns:vt="http://schemas.openxmlformats.org/officeDocument/2006/docPropsVTypes"/>
</file>