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pru-2q26-earnings-preview"/>
    <w:p>
      <w:pPr>
        <w:pStyle w:val="Heading1"/>
      </w:pPr>
      <w:r>
        <w:t xml:space="preserve">PRU 2Q26 Earnings Preview</w:t>
      </w:r>
    </w:p>
    <w:p>
      <w:pPr>
        <w:pStyle w:val="BlockText"/>
      </w:pPr>
      <w:r>
        <w:rPr>
          <w:b/>
          <w:bCs/>
        </w:rPr>
        <w:t xml:space="preserve">Timing clarification:</w:t>
      </w:r>
      <w:r>
        <w:t xml:space="preserve"> </w:t>
      </w:r>
      <w:r>
        <w:t xml:space="preserve">Prudential Financial will release second-quarter results</w:t>
      </w:r>
      <w:r>
        <w:t xml:space="preserve"> </w:t>
      </w:r>
      <w:r>
        <w:rPr>
          <w:b/>
          <w:bCs/>
        </w:rPr>
        <w:t xml:space="preserve">today, Tuesday, August 4, 2026, at approximately 4:15 p.m. ET</w:t>
      </w:r>
      <w:r>
        <w:t xml:space="preserve">. The extended earnings and strategy call is</w:t>
      </w:r>
      <w:r>
        <w:t xml:space="preserve"> </w:t>
      </w:r>
      <w:r>
        <w:rPr>
          <w:b/>
          <w:bCs/>
        </w:rPr>
        <w:t xml:space="preserve">tomorrow, Wednesday, August 5, at 11:00 a.m. ET</w:t>
      </w:r>
      <w:r>
        <w:t xml:space="preserve">. Management expects the call to last roughly 90 minutes and will discuss both the quarter and Prudential’s long-term strategy. (</w:t>
      </w:r>
      <w:hyperlink r:id="rId9">
        <w:r>
          <w:rPr>
            <w:rStyle w:val="Hyperlink"/>
          </w:rPr>
          <w:t xml:space="preserve">investor.prudential.com</w:t>
        </w:r>
      </w:hyperlink>
      <w:r>
        <w:t xml:space="preserve">)</w:t>
      </w:r>
    </w:p>
    <w:bookmarkStart w:id="11" w:name="executive-view"/>
    <w:p>
      <w:pPr>
        <w:pStyle w:val="Heading2"/>
      </w:pPr>
      <w:r>
        <w:t xml:space="preserve">Executive view</w:t>
      </w:r>
    </w:p>
    <w:p>
      <w:pPr>
        <w:pStyle w:val="FirstParagraph"/>
      </w:pPr>
      <w:r>
        <w:t xml:space="preserve">This report is likely to be judged less on whether Prudential beats quarterly EPS by a few cents and more on three questions:</w:t>
      </w:r>
    </w:p>
    <w:p>
      <w:pPr>
        <w:pStyle w:val="Compact"/>
        <w:numPr>
          <w:ilvl w:val="0"/>
          <w:numId w:val="1001"/>
        </w:numPr>
      </w:pPr>
      <w:r>
        <w:rPr>
          <w:b/>
          <w:bCs/>
        </w:rPr>
        <w:t xml:space="preserve">Is the Prudential of Japan problem contained within existing cost and timing assumptions?</w:t>
      </w:r>
    </w:p>
    <w:p>
      <w:pPr>
        <w:pStyle w:val="Compact"/>
        <w:numPr>
          <w:ilvl w:val="0"/>
          <w:numId w:val="1001"/>
        </w:numPr>
      </w:pPr>
      <w:r>
        <w:rPr>
          <w:b/>
          <w:bCs/>
        </w:rPr>
        <w:t xml:space="preserve">Can the core Retirement and PGIM franchises offset the Japan drag and legacy-block runoff?</w:t>
      </w:r>
    </w:p>
    <w:p>
      <w:pPr>
        <w:pStyle w:val="Compact"/>
        <w:numPr>
          <w:ilvl w:val="0"/>
          <w:numId w:val="1001"/>
        </w:numPr>
      </w:pPr>
      <w:r>
        <w:rPr>
          <w:b/>
          <w:bCs/>
        </w:rPr>
        <w:t xml:space="preserve">Will management’s strategy update provide credible financial targets and evidence of a more focused company?</w:t>
      </w:r>
    </w:p>
    <w:p>
      <w:pPr>
        <w:pStyle w:val="FirstParagraph"/>
      </w:pPr>
      <w:r>
        <w:t xml:space="preserve">Wall Street expects adjusted operating EPS of roughly</w:t>
      </w:r>
      <w:r>
        <w:t xml:space="preserve"> </w:t>
      </w:r>
      <m:oMath>
        <m:r>
          <m:t>3.49</m:t>
        </m:r>
        <m:r>
          <m:rPr>
            <m:sty m:val="p"/>
          </m:rPr>
          <m:t>*</m:t>
        </m:r>
        <m:r>
          <m:rPr>
            <m:sty m:val="p"/>
          </m:rPr>
          <m:t>*</m:t>
        </m:r>
        <m:r>
          <m:rPr>
            <m:sty m:val="p"/>
          </m:rPr>
          <m:t>,</m:t>
        </m:r>
        <m:r>
          <m:t>d</m:t>
        </m:r>
        <m:r>
          <m:t>o</m:t>
        </m:r>
        <m:r>
          <m:t>w</m:t>
        </m:r>
        <m:r>
          <m:t>n</m:t>
        </m:r>
        <m:r>
          <m:t>m</m:t>
        </m:r>
        <m:r>
          <m:t>o</m:t>
        </m:r>
        <m:r>
          <m:t>d</m:t>
        </m:r>
        <m:r>
          <m:t>e</m:t>
        </m:r>
        <m:r>
          <m:t>s</m:t>
        </m:r>
        <m:r>
          <m:t>t</m:t>
        </m:r>
        <m:r>
          <m:t>l</m:t>
        </m:r>
        <m:r>
          <m:t>y</m:t>
        </m:r>
        <m:r>
          <m:t>f</m:t>
        </m:r>
        <m:r>
          <m:t>r</m:t>
        </m:r>
        <m:r>
          <m:t>o</m:t>
        </m:r>
        <m:r>
          <m:t>m</m:t>
        </m:r>
        <m:r>
          <m:rPr>
            <m:sty m:val="p"/>
          </m:rPr>
          <m:t>*</m:t>
        </m:r>
        <m:r>
          <m:rPr>
            <m:sty m:val="p"/>
          </m:rPr>
          <m:t>*</m:t>
        </m:r>
      </m:oMath>
      <w:r>
        <w:rPr>
          <w:b/>
          <w:bCs/>
        </w:rPr>
        <w:t xml:space="preserve">3.58</w:t>
      </w:r>
      <w:r>
        <w:t xml:space="preserve"> </w:t>
      </w:r>
      <w:r>
        <w:t xml:space="preserve">in 2Q25. Estimates from current aggregators cluster between $3.48 and $3.50. (</w:t>
      </w:r>
      <w:hyperlink r:id="rId10">
        <w:r>
          <w:rPr>
            <w:rStyle w:val="Hyperlink"/>
          </w:rPr>
          <w:t xml:space="preserve">tipranks.com</w:t>
        </w:r>
      </w:hyperlink>
      <w:r>
        <w:t xml:space="preserve">)</w:t>
      </w:r>
    </w:p>
    <w:p>
      <w:pPr>
        <w:pStyle w:val="BodyText"/>
      </w:pPr>
      <w:r>
        <w:t xml:space="preserve">PRU closed August 3 at</w:t>
      </w:r>
      <w:r>
        <w:t xml:space="preserve"> </w:t>
      </w:r>
      <w:r>
        <w:rPr>
          <w:b/>
          <w:bCs/>
        </w:rPr>
        <w:t xml:space="preserve">$123.01</w:t>
      </w:r>
      <w:r>
        <w:t xml:space="preserve">, approximately</w:t>
      </w:r>
      <w:r>
        <w:t xml:space="preserve"> </w:t>
      </w:r>
      <w:r>
        <w:rPr>
          <w:b/>
          <w:bCs/>
        </w:rPr>
        <w:t xml:space="preserve">1.23 times</w:t>
      </w:r>
      <w:r>
        <w:t xml:space="preserve"> </w:t>
      </w:r>
      <w:r>
        <w:t xml:space="preserve">its first-quarter adjusted book value of $99.79. The indicated dividend yield is about</w:t>
      </w:r>
      <w:r>
        <w:t xml:space="preserve"> </w:t>
      </w:r>
      <w:r>
        <w:rPr>
          <w:b/>
          <w:bCs/>
        </w:rPr>
        <w:t xml:space="preserve">4.6%</w:t>
      </w:r>
      <w:r>
        <w:t xml:space="preserve">. The stock has risen almost 30% from its April 22 close, meaning expectations are materially higher than they were immediately after the extended Japan suspension was announced.</w:t>
      </w:r>
    </w:p>
    <w:bookmarkEnd w:id="11"/>
    <w:bookmarkStart w:id="13" w:name="earnings-setup"/>
    <w:p>
      <w:pPr>
        <w:pStyle w:val="Heading2"/>
      </w:pPr>
      <w:r>
        <w:t xml:space="preserve">Earnings setup</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Reference point</w:t>
            </w:r>
          </w:p>
        </w:tc>
      </w:tr>
      <w:tr>
        <w:tc>
          <w:tcPr/>
          <w:p>
            <w:pPr>
              <w:pStyle w:val="Compact"/>
            </w:pPr>
            <w:r>
              <w:t xml:space="preserve">2Q26 adjusted EPS consensus</w:t>
            </w:r>
          </w:p>
        </w:tc>
        <w:tc>
          <w:tcPr/>
          <w:p>
            <w:pPr>
              <w:pStyle w:val="Compact"/>
              <w:jc w:val="right"/>
            </w:pPr>
            <w:r>
              <w:rPr>
                <w:b/>
                <w:bCs/>
              </w:rPr>
              <w:t xml:space="preserve">~$3.49</w:t>
            </w:r>
          </w:p>
        </w:tc>
      </w:tr>
      <w:tr>
        <w:tc>
          <w:tcPr/>
          <w:p>
            <w:pPr>
              <w:pStyle w:val="Compact"/>
            </w:pPr>
            <w:r>
              <w:t xml:space="preserve">2Q25 adjusted EPS</w:t>
            </w:r>
          </w:p>
        </w:tc>
        <w:tc>
          <w:tcPr/>
          <w:p>
            <w:pPr>
              <w:pStyle w:val="Compact"/>
              <w:jc w:val="right"/>
            </w:pPr>
            <w:r>
              <w:rPr>
                <w:b/>
                <w:bCs/>
              </w:rPr>
              <w:t xml:space="preserve">$3.58</w:t>
            </w:r>
          </w:p>
        </w:tc>
      </w:tr>
      <w:tr>
        <w:tc>
          <w:tcPr/>
          <w:p>
            <w:pPr>
              <w:pStyle w:val="Compact"/>
            </w:pPr>
            <w:r>
              <w:t xml:space="preserve">1Q26 adjusted EPS</w:t>
            </w:r>
          </w:p>
        </w:tc>
        <w:tc>
          <w:tcPr/>
          <w:p>
            <w:pPr>
              <w:pStyle w:val="Compact"/>
              <w:jc w:val="right"/>
            </w:pPr>
            <w:r>
              <w:rPr>
                <w:b/>
                <w:bCs/>
              </w:rPr>
              <w:t xml:space="preserve">$3.61</w:t>
            </w:r>
          </w:p>
        </w:tc>
      </w:tr>
      <w:tr>
        <w:tc>
          <w:tcPr/>
          <w:p>
            <w:pPr>
              <w:pStyle w:val="Compact"/>
            </w:pPr>
            <w:r>
              <w:t xml:space="preserve">1Q26 pretax adjusted operating income</w:t>
            </w:r>
          </w:p>
        </w:tc>
        <w:tc>
          <w:tcPr/>
          <w:p>
            <w:pPr>
              <w:pStyle w:val="Compact"/>
              <w:jc w:val="right"/>
            </w:pPr>
            <w:r>
              <w:rPr>
                <w:b/>
                <w:bCs/>
              </w:rPr>
              <w:t xml:space="preserve">$1.63B</w:t>
            </w:r>
          </w:p>
        </w:tc>
      </w:tr>
      <w:tr>
        <w:tc>
          <w:tcPr/>
          <w:p>
            <w:pPr>
              <w:pStyle w:val="Compact"/>
            </w:pPr>
            <w:r>
              <w:t xml:space="preserve">1Q26 adjusted operating ROE</w:t>
            </w:r>
          </w:p>
        </w:tc>
        <w:tc>
          <w:tcPr/>
          <w:p>
            <w:pPr>
              <w:pStyle w:val="Compact"/>
              <w:jc w:val="right"/>
            </w:pPr>
            <w:r>
              <w:rPr>
                <w:b/>
                <w:bCs/>
              </w:rPr>
              <w:t xml:space="preserve">~15%</w:t>
            </w:r>
          </w:p>
        </w:tc>
      </w:tr>
      <w:tr>
        <w:tc>
          <w:tcPr/>
          <w:p>
            <w:pPr>
              <w:pStyle w:val="Compact"/>
            </w:pPr>
            <w:r>
              <w:t xml:space="preserve">1Q26 adjusted book value/share</w:t>
            </w:r>
          </w:p>
        </w:tc>
        <w:tc>
          <w:tcPr/>
          <w:p>
            <w:pPr>
              <w:pStyle w:val="Compact"/>
              <w:jc w:val="right"/>
            </w:pPr>
            <w:r>
              <w:rPr>
                <w:b/>
                <w:bCs/>
              </w:rPr>
              <w:t xml:space="preserve">$99.79</w:t>
            </w:r>
          </w:p>
        </w:tc>
      </w:tr>
      <w:tr>
        <w:tc>
          <w:tcPr/>
          <w:p>
            <w:pPr>
              <w:pStyle w:val="Compact"/>
            </w:pPr>
            <w:r>
              <w:t xml:space="preserve">August 3 share price</w:t>
            </w:r>
          </w:p>
        </w:tc>
        <w:tc>
          <w:tcPr/>
          <w:p>
            <w:pPr>
              <w:pStyle w:val="Compact"/>
              <w:jc w:val="right"/>
            </w:pPr>
            <w:r>
              <w:rPr>
                <w:b/>
                <w:bCs/>
              </w:rPr>
              <w:t xml:space="preserve">$123.01</w:t>
            </w:r>
          </w:p>
        </w:tc>
      </w:tr>
      <w:tr>
        <w:tc>
          <w:tcPr/>
          <w:p>
            <w:pPr>
              <w:pStyle w:val="Compact"/>
            </w:pPr>
            <w:r>
              <w:t xml:space="preserve">Quarterly dividend</w:t>
            </w:r>
          </w:p>
        </w:tc>
        <w:tc>
          <w:tcPr/>
          <w:p>
            <w:pPr>
              <w:pStyle w:val="Compact"/>
              <w:jc w:val="right"/>
            </w:pPr>
            <w:r>
              <w:rPr>
                <w:b/>
                <w:bCs/>
              </w:rPr>
              <w:t xml:space="preserve">$1.40/share</w:t>
            </w:r>
          </w:p>
        </w:tc>
      </w:tr>
    </w:tbl>
    <w:p>
      <w:pPr>
        <w:pStyle w:val="BodyText"/>
      </w:pPr>
      <w:r>
        <w:t xml:space="preserve">Prudential’s first quarter was fundamentally solid: adjusted EPS rose 10% year over year to $3.61, PGIM earnings grew 22%, Retirement earnings rose 9%, and capital returns totaled $746 million. Those positives were partly offset by weaker Group Insurance results, declining earnings from legacy products, and a $130 million pretax impact from the Japan sales suspension. (</w:t>
      </w:r>
      <w:hyperlink r:id="rId12">
        <w:r>
          <w:rPr>
            <w:rStyle w:val="Hyperlink"/>
          </w:rPr>
          <w:t xml:space="preserve">investor.prudential.com</w:t>
        </w:r>
      </w:hyperlink>
      <w:r>
        <w:t xml:space="preserve">)</w:t>
      </w:r>
    </w:p>
    <w:bookmarkEnd w:id="13"/>
    <w:bookmarkStart w:id="18" w:name="X6d92cb8cdb1c2263c43604027f923e6d62e5def"/>
    <w:p>
      <w:pPr>
        <w:pStyle w:val="Heading2"/>
      </w:pPr>
      <w:r>
        <w:t xml:space="preserve">1. Japan is the central issue</w:t>
      </w:r>
    </w:p>
    <w:p>
      <w:pPr>
        <w:pStyle w:val="FirstParagraph"/>
      </w:pPr>
      <w:r>
        <w:t xml:space="preserve">Prudential of Japan stopped new sales on February 9 and later extended the suspension through</w:t>
      </w:r>
      <w:r>
        <w:t xml:space="preserve"> </w:t>
      </w:r>
      <w:r>
        <w:rPr>
          <w:b/>
          <w:bCs/>
        </w:rPr>
        <w:t xml:space="preserve">November 5, 2026</w:t>
      </w:r>
      <w:r>
        <w:t xml:space="preserve">. Management attributed the extension to the greater-than-expected scope and complexity of the required operational, governance and organizational reforms. Existing policy servicing continues, and the suspension does not directly apply to Gibraltar Life or Prudential’s other Japanese operations. (</w:t>
      </w:r>
      <w:hyperlink r:id="rId14">
        <w:r>
          <w:rPr>
            <w:rStyle w:val="Hyperlink"/>
          </w:rPr>
          <w:t xml:space="preserve">investor.prudential.com</w:t>
        </w:r>
      </w:hyperlink>
      <w:r>
        <w:t xml:space="preserve">)</w:t>
      </w:r>
    </w:p>
    <w:p>
      <w:pPr>
        <w:pStyle w:val="BodyText"/>
      </w:pPr>
      <w:r>
        <w:t xml:space="preserve">Management’s current estimates are:</w:t>
      </w:r>
    </w:p>
    <w:p>
      <w:pPr>
        <w:pStyle w:val="Compact"/>
        <w:numPr>
          <w:ilvl w:val="0"/>
          <w:numId w:val="1002"/>
        </w:numPr>
      </w:pPr>
      <w:r>
        <w:rPr>
          <w:b/>
          <w:bCs/>
        </w:rPr>
        <w:t xml:space="preserve">2026 pretax adjusted operating income impact:</w:t>
      </w:r>
      <w:r>
        <w:t xml:space="preserve"> </w:t>
      </w:r>
      <m:oMath>
        <m:r>
          <m:t>525</m:t>
        </m:r>
        <m:r>
          <m:t>m</m:t>
        </m:r>
        <m:r>
          <m:t>i</m:t>
        </m:r>
        <m:r>
          <m:t>l</m:t>
        </m:r>
        <m:r>
          <m:t>l</m:t>
        </m:r>
        <m:r>
          <m:t>i</m:t>
        </m:r>
        <m:r>
          <m:t>o</m:t>
        </m:r>
        <m:r>
          <m:t>n</m:t>
        </m:r>
        <m:r>
          <m:rPr>
            <m:sty m:val="p"/>
          </m:rPr>
          <m:t>–</m:t>
        </m:r>
      </m:oMath>
      <w:r>
        <w:t xml:space="preserve">575 million</w:t>
      </w:r>
    </w:p>
    <w:p>
      <w:pPr>
        <w:pStyle w:val="Compact"/>
        <w:numPr>
          <w:ilvl w:val="0"/>
          <w:numId w:val="1002"/>
        </w:numPr>
      </w:pPr>
      <w:r>
        <w:rPr>
          <w:b/>
          <w:bCs/>
        </w:rPr>
        <w:t xml:space="preserve">2027 impact:</w:t>
      </w:r>
      <w:r>
        <w:t xml:space="preserve"> </w:t>
      </w:r>
      <m:oMath>
        <m:r>
          <m:t>400</m:t>
        </m:r>
        <m:r>
          <m:t>m</m:t>
        </m:r>
        <m:r>
          <m:t>i</m:t>
        </m:r>
        <m:r>
          <m:t>l</m:t>
        </m:r>
        <m:r>
          <m:t>l</m:t>
        </m:r>
        <m:r>
          <m:t>i</m:t>
        </m:r>
        <m:r>
          <m:t>o</m:t>
        </m:r>
        <m:r>
          <m:t>n</m:t>
        </m:r>
        <m:r>
          <m:rPr>
            <m:sty m:val="p"/>
          </m:rPr>
          <m:t>–</m:t>
        </m:r>
      </m:oMath>
      <w:r>
        <w:t xml:space="preserve">450 million</w:t>
      </w:r>
    </w:p>
    <w:p>
      <w:pPr>
        <w:pStyle w:val="Compact"/>
        <w:numPr>
          <w:ilvl w:val="0"/>
          <w:numId w:val="1002"/>
        </w:numPr>
      </w:pPr>
      <w:r>
        <w:t xml:space="preserve">No material expected impact on capital, Japan economic solvency ratios or cash flow</w:t>
      </w:r>
    </w:p>
    <w:p>
      <w:pPr>
        <w:pStyle w:val="Compact"/>
        <w:numPr>
          <w:ilvl w:val="0"/>
          <w:numId w:val="1002"/>
        </w:numPr>
      </w:pPr>
      <w:r>
        <w:t xml:space="preserve">A gradual sales recovery after the suspension, rather than an immediate return to prior productivity</w:t>
      </w:r>
    </w:p>
    <w:p>
      <w:pPr>
        <w:pStyle w:val="FirstParagraph"/>
      </w:pPr>
      <w:r>
        <w:t xml:space="preserve">The company has warned that the quarterly cost is not linear. The impact from lower sales, elevated surrenders and Life Planner support was expected to build as 2026 progressed. That makes the $130 million first-quarter charge a poor run-rate assumption for the second quarter. (</w:t>
      </w:r>
      <w:hyperlink r:id="rId15">
        <w:r>
          <w:rPr>
            <w:rStyle w:val="Hyperlink"/>
          </w:rPr>
          <w:t xml:space="preserve">sec.gov</w:t>
        </w:r>
      </w:hyperlink>
      <w:r>
        <w:t xml:space="preserve">)</w:t>
      </w:r>
    </w:p>
    <w:bookmarkStart w:id="17" w:name="what-investors-need-to-hear"/>
    <w:p>
      <w:pPr>
        <w:pStyle w:val="Heading3"/>
      </w:pPr>
      <w:r>
        <w:t xml:space="preserve">What investors need to hear</w:t>
      </w:r>
    </w:p>
    <w:p>
      <w:pPr>
        <w:pStyle w:val="FirstParagraph"/>
      </w:pPr>
      <w:r>
        <w:t xml:space="preserve">A constructive update would include:</w:t>
      </w:r>
    </w:p>
    <w:p>
      <w:pPr>
        <w:pStyle w:val="Compact"/>
        <w:numPr>
          <w:ilvl w:val="0"/>
          <w:numId w:val="1003"/>
        </w:numPr>
      </w:pPr>
      <w:r>
        <w:t xml:space="preserve">The full-year</w:t>
      </w:r>
      <w:r>
        <w:t xml:space="preserve"> </w:t>
      </w:r>
      <m:oMath>
        <m:r>
          <m:t>525</m:t>
        </m:r>
        <m:r>
          <m:t>m</m:t>
        </m:r>
        <m:r>
          <m:t>i</m:t>
        </m:r>
        <m:r>
          <m:t>l</m:t>
        </m:r>
        <m:r>
          <m:t>l</m:t>
        </m:r>
        <m:r>
          <m:t>i</m:t>
        </m:r>
        <m:r>
          <m:t>o</m:t>
        </m:r>
        <m:r>
          <m:t>n</m:t>
        </m:r>
        <m:r>
          <m:rPr>
            <m:sty m:val="p"/>
          </m:rPr>
          <m:t>–</m:t>
        </m:r>
      </m:oMath>
      <w:r>
        <w:t xml:space="preserve">575 million range remains sufficient.</w:t>
      </w:r>
    </w:p>
    <w:p>
      <w:pPr>
        <w:pStyle w:val="Compact"/>
        <w:numPr>
          <w:ilvl w:val="0"/>
          <w:numId w:val="1003"/>
        </w:numPr>
      </w:pPr>
      <w:r>
        <w:t xml:space="preserve">Sales remain on track to resume after November 5.</w:t>
      </w:r>
    </w:p>
    <w:p>
      <w:pPr>
        <w:pStyle w:val="Compact"/>
        <w:numPr>
          <w:ilvl w:val="0"/>
          <w:numId w:val="1003"/>
        </w:numPr>
      </w:pPr>
      <w:r>
        <w:t xml:space="preserve">Life Planner retention and policy persistency are tracking to plan.</w:t>
      </w:r>
    </w:p>
    <w:p>
      <w:pPr>
        <w:pStyle w:val="Compact"/>
        <w:numPr>
          <w:ilvl w:val="0"/>
          <w:numId w:val="1003"/>
        </w:numPr>
      </w:pPr>
      <w:r>
        <w:t xml:space="preserve">No evidence that the problem is causing material franchise damage elsewhere in Japan.</w:t>
      </w:r>
    </w:p>
    <w:p>
      <w:pPr>
        <w:pStyle w:val="Compact"/>
        <w:numPr>
          <w:ilvl w:val="0"/>
          <w:numId w:val="1003"/>
        </w:numPr>
      </w:pPr>
      <w:r>
        <w:t xml:space="preserve">The independent review has not uncovered a materially broader issue.</w:t>
      </w:r>
    </w:p>
    <w:p>
      <w:pPr>
        <w:pStyle w:val="Compact"/>
        <w:numPr>
          <w:ilvl w:val="0"/>
          <w:numId w:val="1003"/>
        </w:numPr>
      </w:pPr>
      <w:r>
        <w:t xml:space="preserve">Reimbursement and remediation are moving toward completion.</w:t>
      </w:r>
    </w:p>
    <w:p>
      <w:pPr>
        <w:pStyle w:val="FirstParagraph"/>
      </w:pPr>
      <w:r>
        <w:t xml:space="preserve">Prudential’s July 24 reimbursement update showed meaningful progress but also confirmed that the review continues. Of the original 498 affected individuals, review or reimbursement had been completed for 437 as of July 8. Separately, 125 of 365 subsequently reviewed inquiries were found eligible for reimbursement. (</w:t>
      </w:r>
      <w:hyperlink r:id="rId16">
        <w:r>
          <w:rPr>
            <w:rStyle w:val="Hyperlink"/>
          </w:rPr>
          <w:t xml:space="preserve">sec.gov</w:t>
        </w:r>
      </w:hyperlink>
      <w:r>
        <w:t xml:space="preserve">)</w:t>
      </w:r>
    </w:p>
    <w:p>
      <w:pPr>
        <w:pStyle w:val="BodyText"/>
      </w:pPr>
      <w:r>
        <w:t xml:space="preserve">The principal downside risk is another extension. Prudential’s first-quarter 10-Q estimated that every month beyond November could reduce pretax adjusted operating income by an additional</w:t>
      </w:r>
      <w:r>
        <w:t xml:space="preserve"> </w:t>
      </w:r>
      <m:oMath>
        <m:r>
          <m:t>50</m:t>
        </m:r>
        <m:r>
          <m:t>m</m:t>
        </m:r>
        <m:r>
          <m:t>i</m:t>
        </m:r>
        <m:r>
          <m:t>l</m:t>
        </m:r>
        <m:r>
          <m:t>l</m:t>
        </m:r>
        <m:r>
          <m:t>i</m:t>
        </m:r>
        <m:r>
          <m:t>o</m:t>
        </m:r>
        <m:r>
          <m:t>n</m:t>
        </m:r>
        <m:r>
          <m:rPr>
            <m:sty m:val="p"/>
          </m:rPr>
          <m:t>–</m:t>
        </m:r>
      </m:oMath>
      <w:r>
        <w:rPr>
          <w:b/>
          <w:bCs/>
        </w:rPr>
        <w:t xml:space="preserve">60 million</w:t>
      </w:r>
      <w:r>
        <w:t xml:space="preserve">. Fitch has also placed Prudential’s ratings on negative watch, making remediation timing relevant not just to earnings but to the company’s financial-strength narrative. (</w:t>
      </w:r>
      <w:hyperlink r:id="rId15">
        <w:r>
          <w:rPr>
            <w:rStyle w:val="Hyperlink"/>
          </w:rPr>
          <w:t xml:space="preserve">sec.gov</w:t>
        </w:r>
      </w:hyperlink>
      <w:r>
        <w:t xml:space="preserve">)</w:t>
      </w:r>
    </w:p>
    <w:bookmarkEnd w:id="17"/>
    <w:bookmarkEnd w:id="18"/>
    <w:bookmarkStart w:id="24" w:name="X127a2088b7b38d47fd41a976b542b02b466cae5"/>
    <w:p>
      <w:pPr>
        <w:pStyle w:val="Heading2"/>
      </w:pPr>
      <w:r>
        <w:t xml:space="preserve">2. The strategy update may matter more than the EPS print</w:t>
      </w:r>
    </w:p>
    <w:p>
      <w:pPr>
        <w:pStyle w:val="FirstParagraph"/>
      </w:pPr>
      <w:r>
        <w:t xml:space="preserve">Management has explicitly positioned this as an</w:t>
      </w:r>
      <w:r>
        <w:t xml:space="preserve"> </w:t>
      </w:r>
      <w:r>
        <w:rPr>
          <w:b/>
          <w:bCs/>
        </w:rPr>
        <w:t xml:space="preserve">earnings and strategy call</w:t>
      </w:r>
      <w:r>
        <w:t xml:space="preserve">. CEO Andy Sullivan said last quarter that Prudential had too many businesses and markets where it was subscale or insufficiently competitive, and that the company was still early in shifting its business mix.</w:t>
      </w:r>
    </w:p>
    <w:p>
      <w:pPr>
        <w:pStyle w:val="BodyText"/>
      </w:pPr>
      <w:r>
        <w:t xml:space="preserve">Investors should look for answers in four areas:</w:t>
      </w:r>
    </w:p>
    <w:bookmarkStart w:id="19" w:name="portfolio-focus"/>
    <w:p>
      <w:pPr>
        <w:pStyle w:val="Heading3"/>
      </w:pPr>
      <w:r>
        <w:t xml:space="preserve">Portfolio focus</w:t>
      </w:r>
    </w:p>
    <w:p>
      <w:pPr>
        <w:pStyle w:val="FirstParagraph"/>
      </w:pPr>
      <w:r>
        <w:t xml:space="preserve">Prudential has already agreed to exit several smaller operations, including PGIM India and insurance interests in Kenya and Indonesia. The market will want to know whether additional—and potentially larger—portfolio actions are under consideration.</w:t>
      </w:r>
    </w:p>
    <w:p>
      <w:pPr>
        <w:pStyle w:val="BodyText"/>
      </w:pPr>
      <w:r>
        <w:t xml:space="preserve">The likely strategic center of gravity is:</w:t>
      </w:r>
    </w:p>
    <w:p>
      <w:pPr>
        <w:pStyle w:val="Compact"/>
        <w:numPr>
          <w:ilvl w:val="0"/>
          <w:numId w:val="1004"/>
        </w:numPr>
      </w:pPr>
      <w:r>
        <w:t xml:space="preserve">U.S. Retirement</w:t>
      </w:r>
    </w:p>
    <w:p>
      <w:pPr>
        <w:pStyle w:val="Compact"/>
        <w:numPr>
          <w:ilvl w:val="0"/>
          <w:numId w:val="1004"/>
        </w:numPr>
      </w:pPr>
      <w:r>
        <w:t xml:space="preserve">PGIM, especially private credit and asset-backed finance</w:t>
      </w:r>
    </w:p>
    <w:p>
      <w:pPr>
        <w:pStyle w:val="Compact"/>
        <w:numPr>
          <w:ilvl w:val="0"/>
          <w:numId w:val="1004"/>
        </w:numPr>
      </w:pPr>
      <w:r>
        <w:t xml:space="preserve">Capital-efficient protection products</w:t>
      </w:r>
    </w:p>
    <w:p>
      <w:pPr>
        <w:pStyle w:val="Compact"/>
        <w:numPr>
          <w:ilvl w:val="0"/>
          <w:numId w:val="1004"/>
        </w:numPr>
      </w:pPr>
      <w:r>
        <w:t xml:space="preserve">Selected international markets where Prudential has scale</w:t>
      </w:r>
    </w:p>
    <w:bookmarkEnd w:id="19"/>
    <w:bookmarkStart w:id="20" w:name="financial-targets"/>
    <w:p>
      <w:pPr>
        <w:pStyle w:val="Heading3"/>
      </w:pPr>
      <w:r>
        <w:t xml:space="preserve">Financial targets</w:t>
      </w:r>
    </w:p>
    <w:p>
      <w:pPr>
        <w:pStyle w:val="FirstParagraph"/>
      </w:pPr>
      <w:r>
        <w:t xml:space="preserve">The update would be more valuable if management provides measurable objectives for:</w:t>
      </w:r>
    </w:p>
    <w:p>
      <w:pPr>
        <w:pStyle w:val="Compact"/>
        <w:numPr>
          <w:ilvl w:val="0"/>
          <w:numId w:val="1005"/>
        </w:numPr>
      </w:pPr>
      <w:r>
        <w:t xml:space="preserve">Adjusted operating ROE</w:t>
      </w:r>
    </w:p>
    <w:p>
      <w:pPr>
        <w:pStyle w:val="Compact"/>
        <w:numPr>
          <w:ilvl w:val="0"/>
          <w:numId w:val="1005"/>
        </w:numPr>
      </w:pPr>
      <w:r>
        <w:t xml:space="preserve">EPS or earnings growth</w:t>
      </w:r>
    </w:p>
    <w:p>
      <w:pPr>
        <w:pStyle w:val="Compact"/>
        <w:numPr>
          <w:ilvl w:val="0"/>
          <w:numId w:val="1005"/>
        </w:numPr>
      </w:pPr>
      <w:r>
        <w:t xml:space="preserve">Expense reductions</w:t>
      </w:r>
    </w:p>
    <w:p>
      <w:pPr>
        <w:pStyle w:val="Compact"/>
        <w:numPr>
          <w:ilvl w:val="0"/>
          <w:numId w:val="1005"/>
        </w:numPr>
      </w:pPr>
      <w:r>
        <w:t xml:space="preserve">PGIM margins</w:t>
      </w:r>
    </w:p>
    <w:p>
      <w:pPr>
        <w:pStyle w:val="Compact"/>
        <w:numPr>
          <w:ilvl w:val="0"/>
          <w:numId w:val="1005"/>
        </w:numPr>
      </w:pPr>
      <w:r>
        <w:t xml:space="preserve">Free cash flow or subsidiary remittances</w:t>
      </w:r>
    </w:p>
    <w:p>
      <w:pPr>
        <w:pStyle w:val="Compact"/>
        <w:numPr>
          <w:ilvl w:val="0"/>
          <w:numId w:val="1005"/>
        </w:numPr>
      </w:pPr>
      <w:r>
        <w:t xml:space="preserve">Capital deployment</w:t>
      </w:r>
    </w:p>
    <w:p>
      <w:pPr>
        <w:pStyle w:val="Compact"/>
        <w:numPr>
          <w:ilvl w:val="0"/>
          <w:numId w:val="1005"/>
        </w:numPr>
      </w:pPr>
      <w:r>
        <w:t xml:space="preserve">Desired business mix</w:t>
      </w:r>
    </w:p>
    <w:p>
      <w:pPr>
        <w:pStyle w:val="FirstParagraph"/>
      </w:pPr>
      <w:r>
        <w:t xml:space="preserve">A high-level promise to simplify the company without new financial milestones would probably be viewed as underwhelming.</w:t>
      </w:r>
    </w:p>
    <w:bookmarkEnd w:id="20"/>
    <w:bookmarkStart w:id="21" w:name="expense-discipline"/>
    <w:p>
      <w:pPr>
        <w:pStyle w:val="Heading3"/>
      </w:pPr>
      <w:r>
        <w:t xml:space="preserve">Expense discipline</w:t>
      </w:r>
    </w:p>
    <w:p>
      <w:pPr>
        <w:pStyle w:val="FirstParagraph"/>
      </w:pPr>
      <w:r>
        <w:t xml:space="preserve">PGIM is targeting approximately</w:t>
      </w:r>
      <w:r>
        <w:t xml:space="preserve"> </w:t>
      </w:r>
      <w:r>
        <w:rPr>
          <w:b/>
          <w:bCs/>
        </w:rPr>
        <w:t xml:space="preserve">$100 million of gross annual run-rate savings</w:t>
      </w:r>
      <w:r>
        <w:t xml:space="preserve"> </w:t>
      </w:r>
      <w:r>
        <w:t xml:space="preserve">and more than</w:t>
      </w:r>
      <w:r>
        <w:t xml:space="preserve"> </w:t>
      </w:r>
      <w:r>
        <w:rPr>
          <w:b/>
          <w:bCs/>
        </w:rPr>
        <w:t xml:space="preserve">200 basis points of margin expansion in 2026</w:t>
      </w:r>
      <w:r>
        <w:t xml:space="preserve">, progressing toward a 25%–30% margin target. Separately, a prior restructuring charge is expected to generate about $150 million of run-rate savings in 2027.</w:t>
      </w:r>
    </w:p>
    <w:p>
      <w:pPr>
        <w:pStyle w:val="BodyText"/>
      </w:pPr>
      <w:r>
        <w:t xml:space="preserve">Investors should distinguish genuine net savings from reductions that are immediately reinvested elsewhere.</w:t>
      </w:r>
    </w:p>
    <w:bookmarkEnd w:id="21"/>
    <w:bookmarkStart w:id="23" w:name="capital-allocation"/>
    <w:p>
      <w:pPr>
        <w:pStyle w:val="Heading3"/>
      </w:pPr>
      <w:r>
        <w:t xml:space="preserve">Capital allocation</w:t>
      </w:r>
    </w:p>
    <w:p>
      <w:pPr>
        <w:pStyle w:val="FirstParagraph"/>
      </w:pPr>
      <w:r>
        <w:t xml:space="preserve">PRU returned $746 million in the first quarter, including $250 million of repurchases. The company has a $1 billion 2026 buyback authorization and has maintained that Japan should not disrupt planned shareholder distributions. (</w:t>
      </w:r>
      <w:hyperlink r:id="rId22">
        <w:r>
          <w:rPr>
            <w:rStyle w:val="Hyperlink"/>
          </w:rPr>
          <w:t xml:space="preserve">investor.prudential.com</w:t>
        </w:r>
      </w:hyperlink>
      <w:r>
        <w:t xml:space="preserve">)</w:t>
      </w:r>
    </w:p>
    <w:p>
      <w:pPr>
        <w:pStyle w:val="BodyText"/>
      </w:pPr>
      <w:r>
        <w:t xml:space="preserve">With the stock now trading above first-quarter adjusted book value, management’s willingness to continue repurchasing at the same pace—and its framework for buybacks versus growth investments or acquisitions—will be relevant.</w:t>
      </w:r>
    </w:p>
    <w:bookmarkEnd w:id="23"/>
    <w:bookmarkEnd w:id="24"/>
    <w:bookmarkStart w:id="29" w:name="X8a234f3944569522b88bde0fb9750f11585fba0"/>
    <w:p>
      <w:pPr>
        <w:pStyle w:val="Heading2"/>
      </w:pPr>
      <w:r>
        <w:t xml:space="preserve">3. What to watch by segment</w:t>
      </w:r>
    </w:p>
    <w:bookmarkStart w:id="25" w:name="pgim"/>
    <w:p>
      <w:pPr>
        <w:pStyle w:val="Heading3"/>
      </w:pPr>
      <w:r>
        <w:t xml:space="preserve">PGIM</w:t>
      </w:r>
    </w:p>
    <w:p>
      <w:pPr>
        <w:pStyle w:val="FirstParagraph"/>
      </w:pPr>
      <w:r>
        <w:t xml:space="preserve">PGIM entered the quarter with improving fundamentals:</w:t>
      </w:r>
    </w:p>
    <w:p>
      <w:pPr>
        <w:pStyle w:val="Compact"/>
        <w:numPr>
          <w:ilvl w:val="0"/>
          <w:numId w:val="1006"/>
        </w:numPr>
      </w:pPr>
      <w:r>
        <w:t xml:space="preserve">1Q adjusted operating income:</w:t>
      </w:r>
      <w:r>
        <w:t xml:space="preserve"> </w:t>
      </w:r>
      <w:r>
        <w:rPr>
          <w:b/>
          <w:bCs/>
        </w:rPr>
        <w:t xml:space="preserve">$190 million</w:t>
      </w:r>
      <w:r>
        <w:t xml:space="preserve">, up 22%</w:t>
      </w:r>
    </w:p>
    <w:p>
      <w:pPr>
        <w:pStyle w:val="Compact"/>
        <w:numPr>
          <w:ilvl w:val="0"/>
          <w:numId w:val="1006"/>
        </w:numPr>
      </w:pPr>
      <w:r>
        <w:t xml:space="preserve">Margin:</w:t>
      </w:r>
      <w:r>
        <w:t xml:space="preserve"> </w:t>
      </w:r>
      <w:r>
        <w:rPr>
          <w:b/>
          <w:bCs/>
        </w:rPr>
        <w:t xml:space="preserve">19.1%</w:t>
      </w:r>
      <w:r>
        <w:t xml:space="preserve">, up 260 basis points</w:t>
      </w:r>
    </w:p>
    <w:p>
      <w:pPr>
        <w:pStyle w:val="Compact"/>
        <w:numPr>
          <w:ilvl w:val="0"/>
          <w:numId w:val="1006"/>
        </w:numPr>
      </w:pPr>
      <w:r>
        <w:t xml:space="preserve">Third-party net inflows:</w:t>
      </w:r>
      <w:r>
        <w:t xml:space="preserve"> </w:t>
      </w:r>
      <w:r>
        <w:rPr>
          <w:b/>
          <w:bCs/>
        </w:rPr>
        <w:t xml:space="preserve">$1.8 billion</w:t>
      </w:r>
    </w:p>
    <w:p>
      <w:pPr>
        <w:pStyle w:val="Compact"/>
        <w:numPr>
          <w:ilvl w:val="0"/>
          <w:numId w:val="1006"/>
        </w:numPr>
      </w:pPr>
      <w:r>
        <w:t xml:space="preserve">Private capital deployment: approximately</w:t>
      </w:r>
      <w:r>
        <w:t xml:space="preserve"> </w:t>
      </w:r>
      <w:r>
        <w:rPr>
          <w:b/>
          <w:bCs/>
        </w:rPr>
        <w:t xml:space="preserve">$13 billion</w:t>
      </w:r>
    </w:p>
    <w:p>
      <w:pPr>
        <w:pStyle w:val="Compact"/>
        <w:numPr>
          <w:ilvl w:val="0"/>
          <w:numId w:val="1006"/>
        </w:numPr>
      </w:pPr>
      <w:r>
        <w:t xml:space="preserve">Active ETF assets: nearly</w:t>
      </w:r>
      <w:r>
        <w:t xml:space="preserve"> </w:t>
      </w:r>
      <w:r>
        <w:rPr>
          <w:b/>
          <w:bCs/>
        </w:rPr>
        <w:t xml:space="preserve">$30 billion</w:t>
      </w:r>
    </w:p>
    <w:p>
      <w:pPr>
        <w:pStyle w:val="FirstParagraph"/>
      </w:pPr>
      <w:r>
        <w:t xml:space="preserve">The key questions are whether third-party flows stayed positive, public-equity outflows moderated, and margin improvement remained on track. Private credit, direct lending and asset-backed finance are strategically important because they can support both third-party fee growth and Prudential’s retirement liabilities.</w:t>
      </w:r>
    </w:p>
    <w:p>
      <w:pPr>
        <w:pStyle w:val="BodyText"/>
      </w:pPr>
      <w:r>
        <w:t xml:space="preserve">A strong PGIM quarter would help demonstrate that it can become a meaningful capital-light growth engine rather than simply an affiliated general-account manager.</w:t>
      </w:r>
    </w:p>
    <w:bookmarkEnd w:id="25"/>
    <w:bookmarkStart w:id="26" w:name="retirement"/>
    <w:p>
      <w:pPr>
        <w:pStyle w:val="Heading3"/>
      </w:pPr>
      <w:r>
        <w:t xml:space="preserve">Retirement</w:t>
      </w:r>
    </w:p>
    <w:p>
      <w:pPr>
        <w:pStyle w:val="FirstParagraph"/>
      </w:pPr>
      <w:r>
        <w:t xml:space="preserve">Retirement produced $572 million of first-quarter adjusted operating income, supported by higher spread income and business growth. Retail annuity sales were $3.3 billion, while pension risk transfer sales totaled $1.4 billion.</w:t>
      </w:r>
    </w:p>
    <w:p>
      <w:pPr>
        <w:pStyle w:val="BodyText"/>
      </w:pPr>
      <w:r>
        <w:t xml:space="preserve">Items to monitor:</w:t>
      </w:r>
    </w:p>
    <w:p>
      <w:pPr>
        <w:pStyle w:val="Compact"/>
        <w:numPr>
          <w:ilvl w:val="0"/>
          <w:numId w:val="1007"/>
        </w:numPr>
      </w:pPr>
      <w:r>
        <w:t xml:space="preserve">RILA and fixed-annuity sales</w:t>
      </w:r>
    </w:p>
    <w:p>
      <w:pPr>
        <w:pStyle w:val="Compact"/>
        <w:numPr>
          <w:ilvl w:val="0"/>
          <w:numId w:val="1007"/>
        </w:numPr>
      </w:pPr>
      <w:r>
        <w:t xml:space="preserve">Economics and pricing discipline in a competitive RILA market</w:t>
      </w:r>
    </w:p>
    <w:p>
      <w:pPr>
        <w:pStyle w:val="Compact"/>
        <w:numPr>
          <w:ilvl w:val="0"/>
          <w:numId w:val="1007"/>
        </w:numPr>
      </w:pPr>
      <w:r>
        <w:t xml:space="preserve">Pension risk transfer volume, especially large transactions</w:t>
      </w:r>
    </w:p>
    <w:p>
      <w:pPr>
        <w:pStyle w:val="Compact"/>
        <w:numPr>
          <w:ilvl w:val="0"/>
          <w:numId w:val="1007"/>
        </w:numPr>
      </w:pPr>
      <w:r>
        <w:t xml:space="preserve">Spread income from higher reinvestment yields</w:t>
      </w:r>
    </w:p>
    <w:p>
      <w:pPr>
        <w:pStyle w:val="Compact"/>
        <w:numPr>
          <w:ilvl w:val="0"/>
          <w:numId w:val="1007"/>
        </w:numPr>
      </w:pPr>
      <w:r>
        <w:t xml:space="preserve">Net account-value growth</w:t>
      </w:r>
    </w:p>
    <w:p>
      <w:pPr>
        <w:pStyle w:val="Compact"/>
        <w:numPr>
          <w:ilvl w:val="0"/>
          <w:numId w:val="1007"/>
        </w:numPr>
      </w:pPr>
      <w:r>
        <w:t xml:space="preserve">Mortality experience in PRT blocks</w:t>
      </w:r>
    </w:p>
    <w:p>
      <w:pPr>
        <w:pStyle w:val="FirstParagraph"/>
      </w:pPr>
      <w:r>
        <w:t xml:space="preserve">The comparison should account for approximately</w:t>
      </w:r>
      <w:r>
        <w:t xml:space="preserve"> </w:t>
      </w:r>
      <w:r>
        <w:rPr>
          <w:b/>
          <w:bCs/>
        </w:rPr>
        <w:t xml:space="preserve">$25 million of episodic prepayment income</w:t>
      </w:r>
      <w:r>
        <w:t xml:space="preserve"> </w:t>
      </w:r>
      <w:r>
        <w:t xml:space="preserve">in the first quarter.</w:t>
      </w:r>
    </w:p>
    <w:bookmarkEnd w:id="26"/>
    <w:bookmarkStart w:id="27" w:name="group-insurance"/>
    <w:p>
      <w:pPr>
        <w:pStyle w:val="Heading3"/>
      </w:pPr>
      <w:r>
        <w:t xml:space="preserve">Group Insurance</w:t>
      </w:r>
    </w:p>
    <w:p>
      <w:pPr>
        <w:pStyle w:val="FirstParagraph"/>
      </w:pPr>
      <w:r>
        <w:t xml:space="preserve">Group was the clearest first-quarter weakness. Adjusted operating income fell to $38 million from $89 million, primarily because of higher long-term disability incidence and severity. The total benefit ratio was</w:t>
      </w:r>
      <w:r>
        <w:t xml:space="preserve"> </w:t>
      </w:r>
      <w:r>
        <w:rPr>
          <w:b/>
          <w:bCs/>
        </w:rPr>
        <w:t xml:space="preserve">83.7%</w:t>
      </w:r>
      <w:r>
        <w:t xml:space="preserve">, still within management’s 83%–87% target range.</w:t>
      </w:r>
    </w:p>
    <w:p>
      <w:pPr>
        <w:pStyle w:val="BodyText"/>
      </w:pPr>
      <w:r>
        <w:t xml:space="preserve">The second quarter should show whether disability experience is stabilizing or whether labor-market uncertainty is creating a more persistent claims issue. A benefit ratio within the target range would be acceptable; movement toward or above the high end would be a concern.</w:t>
      </w:r>
    </w:p>
    <w:bookmarkEnd w:id="27"/>
    <w:bookmarkStart w:id="28" w:name="individual-life-and-us-legacy-products"/>
    <w:p>
      <w:pPr>
        <w:pStyle w:val="Heading3"/>
      </w:pPr>
      <w:r>
        <w:t xml:space="preserve">Individual Life and U.S. Legacy Products</w:t>
      </w:r>
    </w:p>
    <w:p>
      <w:pPr>
        <w:pStyle w:val="FirstParagraph"/>
      </w:pPr>
      <w:r>
        <w:t xml:space="preserve">The ongoing Individual Life business had a strong first quarter, with earnings of $139 million and record first-quarter sales. Conversely, U.S. Legacy Products earnings fell 22% to $207 million because of traditional variable-annuity runoff and weaker guaranteed universal life results.</w:t>
      </w:r>
    </w:p>
    <w:p>
      <w:pPr>
        <w:pStyle w:val="BodyText"/>
      </w:pPr>
      <w:r>
        <w:t xml:space="preserve">Investors should focus on:</w:t>
      </w:r>
    </w:p>
    <w:p>
      <w:pPr>
        <w:pStyle w:val="Compact"/>
        <w:numPr>
          <w:ilvl w:val="0"/>
          <w:numId w:val="1008"/>
        </w:numPr>
      </w:pPr>
      <w:r>
        <w:t xml:space="preserve">Whether favorable mortality in the ongoing life business persisted</w:t>
      </w:r>
    </w:p>
    <w:p>
      <w:pPr>
        <w:pStyle w:val="Compact"/>
        <w:numPr>
          <w:ilvl w:val="0"/>
          <w:numId w:val="1008"/>
        </w:numPr>
      </w:pPr>
      <w:r>
        <w:t xml:space="preserve">Growth and profitability of variable-life sales</w:t>
      </w:r>
    </w:p>
    <w:p>
      <w:pPr>
        <w:pStyle w:val="Compact"/>
        <w:numPr>
          <w:ilvl w:val="0"/>
          <w:numId w:val="1008"/>
        </w:numPr>
      </w:pPr>
      <w:r>
        <w:t xml:space="preserve">GUL reserve development</w:t>
      </w:r>
    </w:p>
    <w:p>
      <w:pPr>
        <w:pStyle w:val="Compact"/>
        <w:numPr>
          <w:ilvl w:val="0"/>
          <w:numId w:val="1008"/>
        </w:numPr>
      </w:pPr>
      <w:r>
        <w:t xml:space="preserve">The pace of traditional variable-annuity runoff</w:t>
      </w:r>
    </w:p>
    <w:p>
      <w:pPr>
        <w:pStyle w:val="Compact"/>
        <w:numPr>
          <w:ilvl w:val="0"/>
          <w:numId w:val="1008"/>
        </w:numPr>
      </w:pPr>
      <w:r>
        <w:t xml:space="preserve">Any additional risk-transfer or reinsurance plans for legacy blocks</w:t>
      </w:r>
    </w:p>
    <w:bookmarkEnd w:id="28"/>
    <w:bookmarkEnd w:id="29"/>
    <w:bookmarkStart w:id="31" w:name="X86d4c45751351707ca65b50b280269226426a3e"/>
    <w:p>
      <w:pPr>
        <w:pStyle w:val="Heading2"/>
      </w:pPr>
      <w:r>
        <w:t xml:space="preserve">4. Expect accounting noise</w:t>
      </w:r>
    </w:p>
    <w:p>
      <w:pPr>
        <w:pStyle w:val="FirstParagraph"/>
      </w:pPr>
      <w:r>
        <w:t xml:space="preserve">The second quarter is Prudential’s annual actuarial-assumption-update quarter. In 2Q25, the update and other refinements reduced adjusted operating EPS by $0.10, while creating larger swings across individual segments. (</w:t>
      </w:r>
      <w:hyperlink r:id="rId30">
        <w:r>
          <w:rPr>
            <w:rStyle w:val="Hyperlink"/>
          </w:rPr>
          <w:t xml:space="preserve">investor.prudential.com</w:t>
        </w:r>
      </w:hyperlink>
      <w:r>
        <w:t xml:space="preserve">)</w:t>
      </w:r>
    </w:p>
    <w:p>
      <w:pPr>
        <w:pStyle w:val="BodyText"/>
      </w:pPr>
      <w:r>
        <w:t xml:space="preserve">Consequently, the cleanest measures will be:</w:t>
      </w:r>
    </w:p>
    <w:p>
      <w:pPr>
        <w:pStyle w:val="Compact"/>
        <w:numPr>
          <w:ilvl w:val="0"/>
          <w:numId w:val="1009"/>
        </w:numPr>
      </w:pPr>
      <w:r>
        <w:t xml:space="preserve">Adjusted operating earnings excluding assumption updates and notable items</w:t>
      </w:r>
    </w:p>
    <w:p>
      <w:pPr>
        <w:pStyle w:val="Compact"/>
        <w:numPr>
          <w:ilvl w:val="0"/>
          <w:numId w:val="1009"/>
        </w:numPr>
      </w:pPr>
      <w:r>
        <w:t xml:space="preserve">Segment-level underlying growth</w:t>
      </w:r>
    </w:p>
    <w:p>
      <w:pPr>
        <w:pStyle w:val="Compact"/>
        <w:numPr>
          <w:ilvl w:val="0"/>
          <w:numId w:val="1009"/>
        </w:numPr>
      </w:pPr>
      <w:r>
        <w:t xml:space="preserve">Capital and book-value movement</w:t>
      </w:r>
    </w:p>
    <w:p>
      <w:pPr>
        <w:pStyle w:val="Compact"/>
        <w:numPr>
          <w:ilvl w:val="0"/>
          <w:numId w:val="1009"/>
        </w:numPr>
      </w:pPr>
      <w:r>
        <w:t xml:space="preserve">Credit losses and investment impairments</w:t>
      </w:r>
    </w:p>
    <w:p>
      <w:pPr>
        <w:pStyle w:val="Compact"/>
        <w:numPr>
          <w:ilvl w:val="0"/>
          <w:numId w:val="1009"/>
        </w:numPr>
      </w:pPr>
      <w:r>
        <w:t xml:space="preserve">Management’s revised earnings-power outlook</w:t>
      </w:r>
    </w:p>
    <w:p>
      <w:pPr>
        <w:pStyle w:val="FirstParagraph"/>
      </w:pPr>
      <w:r>
        <w:t xml:space="preserve">GAAP earnings can be especially volatile because of realized investment gains and losses, market-risk-benefit valuation changes and hedging effects. In the first quarter, Prudential reported $621 million of pretax realized investment losses and related charges and $295 million of losses tied to market-risk-benefit valuation changes. (</w:t>
      </w:r>
      <w:hyperlink r:id="rId12">
        <w:r>
          <w:rPr>
            <w:rStyle w:val="Hyperlink"/>
          </w:rPr>
          <w:t xml:space="preserve">investor.prudential.com</w:t>
        </w:r>
      </w:hyperlink>
      <w:r>
        <w:t xml:space="preserve">)</w:t>
      </w:r>
    </w:p>
    <w:bookmarkEnd w:id="31"/>
    <w:bookmarkStart w:id="32" w:name="X2add588d784e177a8385d23a691ce119b3db518"/>
    <w:p>
      <w:pPr>
        <w:pStyle w:val="Heading2"/>
      </w:pPr>
      <w:r>
        <w:t xml:space="preserve">5. Capital and credit quality remain important supports</w:t>
      </w:r>
    </w:p>
    <w:p>
      <w:pPr>
        <w:pStyle w:val="FirstParagraph"/>
      </w:pPr>
      <w:r>
        <w:t xml:space="preserve">At March 31, Prudential had:</w:t>
      </w:r>
    </w:p>
    <w:p>
      <w:pPr>
        <w:pStyle w:val="Compact"/>
        <w:numPr>
          <w:ilvl w:val="0"/>
          <w:numId w:val="1010"/>
        </w:numPr>
      </w:pPr>
      <w:r>
        <w:rPr>
          <w:b/>
          <w:bCs/>
        </w:rPr>
        <w:t xml:space="preserve">$3.7 billion</w:t>
      </w:r>
      <w:r>
        <w:t xml:space="preserve"> </w:t>
      </w:r>
      <w:r>
        <w:t xml:space="preserve">of parent highly liquid assets, above its $3 billion minimum target</w:t>
      </w:r>
    </w:p>
    <w:p>
      <w:pPr>
        <w:pStyle w:val="Compact"/>
        <w:numPr>
          <w:ilvl w:val="0"/>
          <w:numId w:val="1010"/>
        </w:numPr>
      </w:pPr>
      <w:r>
        <w:t xml:space="preserve">Estimated Japan ESR of</w:t>
      </w:r>
      <w:r>
        <w:t xml:space="preserve"> </w:t>
      </w:r>
      <w:r>
        <w:rPr>
          <w:b/>
          <w:bCs/>
        </w:rPr>
        <w:t xml:space="preserve">170%–190%</w:t>
      </w:r>
      <w:r>
        <w:t xml:space="preserve">, versus a 150% operating target</w:t>
      </w:r>
    </w:p>
    <w:p>
      <w:pPr>
        <w:pStyle w:val="Compact"/>
        <w:numPr>
          <w:ilvl w:val="0"/>
          <w:numId w:val="1010"/>
        </w:numPr>
      </w:pPr>
      <w:r>
        <w:t xml:space="preserve">A strong U.S. insurance capital position</w:t>
      </w:r>
    </w:p>
    <w:p>
      <w:pPr>
        <w:pStyle w:val="Compact"/>
        <w:numPr>
          <w:ilvl w:val="0"/>
          <w:numId w:val="1010"/>
        </w:numPr>
      </w:pPr>
      <w:r>
        <w:t xml:space="preserve">Continued capacity for dividends and repurchases</w:t>
      </w:r>
    </w:p>
    <w:p>
      <w:pPr>
        <w:pStyle w:val="FirstParagraph"/>
      </w:pPr>
      <w:r>
        <w:t xml:space="preserve">The investment portfolio also benefits from higher reinvestment yields, although investors should monitor credit-related losses, commercial real estate, private credit and below-investment-grade migration. The key issue is not likely to be one quarter’s realized losses, but whether credit deterioration begins to consume capital or reduce subsidiary remittances.</w:t>
      </w:r>
    </w:p>
    <w:bookmarkEnd w:id="32"/>
    <w:bookmarkStart w:id="36" w:name="scenario-framework"/>
    <w:p>
      <w:pPr>
        <w:pStyle w:val="Heading2"/>
      </w:pPr>
      <w:r>
        <w:t xml:space="preserve">Scenario framework</w:t>
      </w:r>
    </w:p>
    <w:bookmarkStart w:id="33" w:name="bull-case"/>
    <w:p>
      <w:pPr>
        <w:pStyle w:val="Heading3"/>
      </w:pPr>
      <w:r>
        <w:t xml:space="preserve">Bull case</w:t>
      </w:r>
    </w:p>
    <w:p>
      <w:pPr>
        <w:pStyle w:val="Compact"/>
        <w:numPr>
          <w:ilvl w:val="0"/>
          <w:numId w:val="1011"/>
        </w:numPr>
      </w:pPr>
      <w:r>
        <w:t xml:space="preserve">EPS exceeds $3.50 on strong Retirement and PGIM results.</w:t>
      </w:r>
    </w:p>
    <w:p>
      <w:pPr>
        <w:pStyle w:val="Compact"/>
        <w:numPr>
          <w:ilvl w:val="0"/>
          <w:numId w:val="1011"/>
        </w:numPr>
      </w:pPr>
      <w:r>
        <w:t xml:space="preserve">Japan remains within the existing cost range.</w:t>
      </w:r>
    </w:p>
    <w:p>
      <w:pPr>
        <w:pStyle w:val="Compact"/>
        <w:numPr>
          <w:ilvl w:val="0"/>
          <w:numId w:val="1011"/>
        </w:numPr>
      </w:pPr>
      <w:r>
        <w:t xml:space="preserve">Management expresses confidence in a November sales restart.</w:t>
      </w:r>
    </w:p>
    <w:p>
      <w:pPr>
        <w:pStyle w:val="Compact"/>
        <w:numPr>
          <w:ilvl w:val="0"/>
          <w:numId w:val="1011"/>
        </w:numPr>
      </w:pPr>
      <w:r>
        <w:t xml:space="preserve">No broader material misconduct is identified.</w:t>
      </w:r>
    </w:p>
    <w:p>
      <w:pPr>
        <w:pStyle w:val="Compact"/>
        <w:numPr>
          <w:ilvl w:val="0"/>
          <w:numId w:val="1011"/>
        </w:numPr>
      </w:pPr>
      <w:r>
        <w:t xml:space="preserve">Strategy targets include improved ROE, concrete expense savings and disciplined portfolio exits.</w:t>
      </w:r>
    </w:p>
    <w:p>
      <w:pPr>
        <w:pStyle w:val="Compact"/>
        <w:numPr>
          <w:ilvl w:val="0"/>
          <w:numId w:val="1011"/>
        </w:numPr>
      </w:pPr>
      <w:r>
        <w:t xml:space="preserve">Capital returns remain intact.</w:t>
      </w:r>
    </w:p>
    <w:bookmarkEnd w:id="33"/>
    <w:bookmarkStart w:id="34" w:name="base-case"/>
    <w:p>
      <w:pPr>
        <w:pStyle w:val="Heading3"/>
      </w:pPr>
      <w:r>
        <w:t xml:space="preserve">Base case</w:t>
      </w:r>
    </w:p>
    <w:p>
      <w:pPr>
        <w:pStyle w:val="Compact"/>
        <w:numPr>
          <w:ilvl w:val="0"/>
          <w:numId w:val="1012"/>
        </w:numPr>
      </w:pPr>
      <w:r>
        <w:t xml:space="preserve">EPS lands near</w:t>
      </w:r>
      <w:r>
        <w:t xml:space="preserve"> </w:t>
      </w:r>
      <m:oMath>
        <m:r>
          <m:t>3.45</m:t>
        </m:r>
        <m:r>
          <m:rPr>
            <m:sty m:val="p"/>
          </m:rPr>
          <m:t>–</m:t>
        </m:r>
      </m:oMath>
      <w:r>
        <w:t xml:space="preserve">3.55.</w:t>
      </w:r>
    </w:p>
    <w:p>
      <w:pPr>
        <w:pStyle w:val="Compact"/>
        <w:numPr>
          <w:ilvl w:val="0"/>
          <w:numId w:val="1012"/>
        </w:numPr>
      </w:pPr>
      <w:r>
        <w:t xml:space="preserve">Japan costs rise sequentially but remain within guidance.</w:t>
      </w:r>
    </w:p>
    <w:p>
      <w:pPr>
        <w:pStyle w:val="Compact"/>
        <w:numPr>
          <w:ilvl w:val="0"/>
          <w:numId w:val="1012"/>
        </w:numPr>
      </w:pPr>
      <w:r>
        <w:t xml:space="preserve">Core U.S. businesses grow modestly.</w:t>
      </w:r>
    </w:p>
    <w:p>
      <w:pPr>
        <w:pStyle w:val="Compact"/>
        <w:numPr>
          <w:ilvl w:val="0"/>
          <w:numId w:val="1012"/>
        </w:numPr>
      </w:pPr>
      <w:r>
        <w:t xml:space="preserve">PGIM margins improve while flows remain mixed.</w:t>
      </w:r>
    </w:p>
    <w:p>
      <w:pPr>
        <w:pStyle w:val="Compact"/>
        <w:numPr>
          <w:ilvl w:val="0"/>
          <w:numId w:val="1012"/>
        </w:numPr>
      </w:pPr>
      <w:r>
        <w:t xml:space="preserve">The strategy update is directionally positive but takes several years to execute.</w:t>
      </w:r>
    </w:p>
    <w:bookmarkEnd w:id="34"/>
    <w:bookmarkStart w:id="35" w:name="bear-case"/>
    <w:p>
      <w:pPr>
        <w:pStyle w:val="Heading3"/>
      </w:pPr>
      <w:r>
        <w:t xml:space="preserve">Bear case</w:t>
      </w:r>
    </w:p>
    <w:p>
      <w:pPr>
        <w:pStyle w:val="Compact"/>
        <w:numPr>
          <w:ilvl w:val="0"/>
          <w:numId w:val="1013"/>
        </w:numPr>
      </w:pPr>
      <w:r>
        <w:t xml:space="preserve">Japan costs exceed plan or the company signals a suspension beyond November 5.</w:t>
      </w:r>
    </w:p>
    <w:p>
      <w:pPr>
        <w:pStyle w:val="Compact"/>
        <w:numPr>
          <w:ilvl w:val="0"/>
          <w:numId w:val="1013"/>
        </w:numPr>
      </w:pPr>
      <w:r>
        <w:t xml:space="preserve">Gibraltar or other Japanese channels show broader reputational effects.</w:t>
      </w:r>
    </w:p>
    <w:p>
      <w:pPr>
        <w:pStyle w:val="Compact"/>
        <w:numPr>
          <w:ilvl w:val="0"/>
          <w:numId w:val="1013"/>
        </w:numPr>
      </w:pPr>
      <w:r>
        <w:t xml:space="preserve">Fitch’s negative watch becomes a more immediate ratings concern.</w:t>
      </w:r>
    </w:p>
    <w:p>
      <w:pPr>
        <w:pStyle w:val="Compact"/>
        <w:numPr>
          <w:ilvl w:val="0"/>
          <w:numId w:val="1013"/>
        </w:numPr>
      </w:pPr>
      <w:r>
        <w:t xml:space="preserve">Disability underwriting worsens.</w:t>
      </w:r>
    </w:p>
    <w:p>
      <w:pPr>
        <w:pStyle w:val="Compact"/>
        <w:numPr>
          <w:ilvl w:val="0"/>
          <w:numId w:val="1013"/>
        </w:numPr>
      </w:pPr>
      <w:r>
        <w:t xml:space="preserve">Legacy GUL reserve pressure increases.</w:t>
      </w:r>
    </w:p>
    <w:p>
      <w:pPr>
        <w:pStyle w:val="Compact"/>
        <w:numPr>
          <w:ilvl w:val="0"/>
          <w:numId w:val="1013"/>
        </w:numPr>
      </w:pPr>
      <w:r>
        <w:t xml:space="preserve">The strategy update lacks measurable targets or points to materially higher restructuring costs.</w:t>
      </w:r>
    </w:p>
    <w:bookmarkEnd w:id="35"/>
    <w:bookmarkEnd w:id="36"/>
    <w:bookmarkStart w:id="37" w:name="bottom-line"/>
    <w:p>
      <w:pPr>
        <w:pStyle w:val="Heading2"/>
      </w:pPr>
      <w:r>
        <w:t xml:space="preserve">Bottom line</w:t>
      </w:r>
    </w:p>
    <w:p>
      <w:pPr>
        <w:pStyle w:val="FirstParagraph"/>
      </w:pPr>
      <w:r>
        <w:t xml:space="preserve">A small EPS beat would be welcome, but it is not the central investment question.</w:t>
      </w:r>
      <w:r>
        <w:t xml:space="preserve"> </w:t>
      </w:r>
      <w:r>
        <w:rPr>
          <w:b/>
          <w:bCs/>
        </w:rPr>
        <w:t xml:space="preserve">The decisive variables are Japan containment and the credibility of the new strategy.</w:t>
      </w:r>
    </w:p>
    <w:p>
      <w:pPr>
        <w:pStyle w:val="BodyText"/>
      </w:pPr>
      <w:r>
        <w:t xml:space="preserve">The most constructive outcome would be adjusted EPS around or above consensus, no increase to Japan’s projected financial impact, clear evidence that sales can restart on schedule, and a strategy built around measurable improvements in ROE, margins and free cash generation.</w:t>
      </w:r>
    </w:p>
    <w:p>
      <w:pPr>
        <w:pStyle w:val="BodyText"/>
      </w:pPr>
      <w:r>
        <w:t xml:space="preserve">Conversely, any suggestion that the Japan suspension may run beyond November—or that remediation issues are spreading—would probably outweigh an otherwise solid quarterly result, particularly after the stock’s sharp recovery since April.</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0" Target="https://investor.prudential.com/news/news-details/2025/Prudential-Financial-Inc--Announces-Second-Quarter-2025-Results/default.aspx?utm_source=openai" TargetMode="External" /><Relationship Type="http://schemas.openxmlformats.org/officeDocument/2006/relationships/hyperlink" Id="rId12" Target="https://investor.prudential.com/news/news-details/2026/Prudential-Financial-Inc--Announces-First-Quarter-2026-Results/default.aspx?utm_source=openai" TargetMode="External" /><Relationship Type="http://schemas.openxmlformats.org/officeDocument/2006/relationships/hyperlink" Id="rId22" Target="https://investor.prudential.com/news/news-details/2026/Prudential-Financial-Inc--Announces-Full-Year-and-Fourth-Quarter-2025-Results/default.aspx?utm_source=openai" TargetMode="External" /><Relationship Type="http://schemas.openxmlformats.org/officeDocument/2006/relationships/hyperlink" Id="rId14" Target="https://investor.prudential.com/news/news-details/2026/Prudential-of-Japan-Extends-Voluntary-Sales-Suspension-by-an-Additional-180-Days/default.aspx?utm_source=openai" TargetMode="External" /><Relationship Type="http://schemas.openxmlformats.org/officeDocument/2006/relationships/hyperlink" Id="rId9" Target="https://www.investor.prudential.com/news/news-details/2026/Prudential-Financial-Inc--to-Announce-Second-Quarter-2026-Earnings-Schedules-Earnings-and-Strategy-Call/default.aspx?utm_source=openai" TargetMode="External" /><Relationship Type="http://schemas.openxmlformats.org/officeDocument/2006/relationships/hyperlink" Id="rId15" Target="https://www.sec.gov/Archives/edgar/data/1137774/000113777426000095/pru-20260331.htm?utm_source=openai" TargetMode="External" /><Relationship Type="http://schemas.openxmlformats.org/officeDocument/2006/relationships/hyperlink" Id="rId16" Target="https://www.sec.gov/Archives/edgar/data/1137774/000119312526314987/d41476dex991.htm" TargetMode="External" /><Relationship Type="http://schemas.openxmlformats.org/officeDocument/2006/relationships/hyperlink" Id="rId10" Target="https://www.tipranks.com/stocks/pru/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30" Target="https://investor.prudential.com/news/news-details/2025/Prudential-Financial-Inc--Announces-Second-Quarter-2025-Results/default.aspx?utm_source=openai" TargetMode="External" /><Relationship Type="http://schemas.openxmlformats.org/officeDocument/2006/relationships/hyperlink" Id="rId12" Target="https://investor.prudential.com/news/news-details/2026/Prudential-Financial-Inc--Announces-First-Quarter-2026-Results/default.aspx?utm_source=openai" TargetMode="External" /><Relationship Type="http://schemas.openxmlformats.org/officeDocument/2006/relationships/hyperlink" Id="rId22" Target="https://investor.prudential.com/news/news-details/2026/Prudential-Financial-Inc--Announces-Full-Year-and-Fourth-Quarter-2025-Results/default.aspx?utm_source=openai" TargetMode="External" /><Relationship Type="http://schemas.openxmlformats.org/officeDocument/2006/relationships/hyperlink" Id="rId14" Target="https://investor.prudential.com/news/news-details/2026/Prudential-of-Japan-Extends-Voluntary-Sales-Suspension-by-an-Additional-180-Days/default.aspx?utm_source=openai" TargetMode="External" /><Relationship Type="http://schemas.openxmlformats.org/officeDocument/2006/relationships/hyperlink" Id="rId9" Target="https://www.investor.prudential.com/news/news-details/2026/Prudential-Financial-Inc--to-Announce-Second-Quarter-2026-Earnings-Schedules-Earnings-and-Strategy-Call/default.aspx?utm_source=openai" TargetMode="External" /><Relationship Type="http://schemas.openxmlformats.org/officeDocument/2006/relationships/hyperlink" Id="rId15" Target="https://www.sec.gov/Archives/edgar/data/1137774/000113777426000095/pru-20260331.htm?utm_source=openai" TargetMode="External" /><Relationship Type="http://schemas.openxmlformats.org/officeDocument/2006/relationships/hyperlink" Id="rId16" Target="https://www.sec.gov/Archives/edgar/data/1137774/000119312526314987/d41476dex991.htm" TargetMode="External" /><Relationship Type="http://schemas.openxmlformats.org/officeDocument/2006/relationships/hyperlink" Id="rId10" Target="https://www.tipranks.com/stocks/pru/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2026-08-04T02:07:03Z</dcterms:created>
  <dcterms:modified xsi:type="dcterms:W3CDTF">2026-08-04T02:07:03Z</dcterms:modified>
</cp:coreProperties>
</file>

<file path=docProps/custom.xml><?xml version="1.0" encoding="utf-8"?>
<Properties xmlns="http://schemas.openxmlformats.org/officeDocument/2006/custom-properties" xmlns:vt="http://schemas.openxmlformats.org/officeDocument/2006/docPropsVTypes"/>
</file>