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a3449aab4dea62f3bb05705cef98d07719f4a4"/>
    <w:p>
      <w:pPr>
        <w:pStyle w:val="Heading1"/>
      </w:pPr>
      <w:r>
        <w:t xml:space="preserve">Prudential Financial (NYSE: PRU) — 2Q26 Earnings Preview</w:t>
      </w:r>
    </w:p>
    <w:p>
      <w:pPr>
        <w:pStyle w:val="BlockText"/>
      </w:pPr>
      <w:r>
        <w:rPr>
          <w:b/>
          <w:bCs/>
        </w:rPr>
        <w:t xml:space="preserve">Date clarification:</w:t>
      </w:r>
      <w:r>
        <w:t xml:space="preserve"> </w:t>
      </w:r>
      <w:r>
        <w:t xml:space="preserve">Today is</w:t>
      </w:r>
      <w:r>
        <w:t xml:space="preserve"> </w:t>
      </w:r>
      <w:r>
        <w:rPr>
          <w:b/>
          <w:bCs/>
        </w:rPr>
        <w:t xml:space="preserve">Tuesday, August 4, 2026</w:t>
      </w:r>
      <w:r>
        <w:t xml:space="preserve">. Given the stated event date of</w:t>
      </w:r>
      <w:r>
        <w:t xml:space="preserve"> </w:t>
      </w:r>
      <w:r>
        <w:rPr>
          <w:b/>
          <w:bCs/>
        </w:rPr>
        <w:t xml:space="preserve">August 4, 2026</w:t>
      </w:r>
      <w:r>
        <w:t xml:space="preserve">, PRU’s 2Q26 earnings call is</w:t>
      </w:r>
      <w:r>
        <w:t xml:space="preserve"> </w:t>
      </w:r>
      <w:r>
        <w:rPr>
          <w:b/>
          <w:bCs/>
        </w:rPr>
        <w:t xml:space="preserve">today</w:t>
      </w:r>
      <w:r>
        <w:t xml:space="preserve">, not tomorrow. This preview uses information available through the</w:t>
      </w:r>
      <w:r>
        <w:t xml:space="preserve"> </w:t>
      </w:r>
      <w:r>
        <w:rPr>
          <w:b/>
          <w:bCs/>
        </w:rPr>
        <w:t xml:space="preserve">August 3 close</w:t>
      </w:r>
      <w:r>
        <w:t xml:space="preserve"> </w:t>
      </w:r>
      <w:r>
        <w:t xml:space="preserve">and PRU’s latest pre-earnings disclosures.</w:t>
      </w:r>
    </w:p>
    <w:bookmarkStart w:id="9" w:name="Xc37c46a16eb76f79b35e4066b151a99f07d474d"/>
    <w:p>
      <w:pPr>
        <w:pStyle w:val="Heading2"/>
      </w:pPr>
      <w:r>
        <w:t xml:space="preserve">Setup: a stronger share-price backdrop, but a consequential report</w:t>
      </w:r>
    </w:p>
    <w:p>
      <w:pPr>
        <w:pStyle w:val="FirstParagraph"/>
      </w:pPr>
      <w:r>
        <w:t xml:space="preserve">PRU enters the quarter after a solid first-quarter print and with its stock near recent highs: shares closed at</w:t>
      </w:r>
      <w:r>
        <w:t xml:space="preserve"> </w:t>
      </w:r>
      <w:r>
        <w:rPr>
          <w:b/>
          <w:bCs/>
        </w:rPr>
        <w:t xml:space="preserve">$123.01 on August 3</w:t>
      </w:r>
      <w:r>
        <w:t xml:space="preserve">, up roughly</w:t>
      </w:r>
      <w:r>
        <w:t xml:space="preserve"> </w:t>
      </w:r>
      <w:r>
        <w:rPr>
          <w:b/>
          <w:bCs/>
        </w:rPr>
        <w:t xml:space="preserve">23% since the May 5 first-quarter earnings release</w:t>
      </w:r>
      <w:r>
        <w:t xml:space="preserve">. The setup therefore looks less like a simple “beat-or-miss” quarter and more like a test of whether management can validate three parts of the improving narrative:</w:t>
      </w:r>
    </w:p>
    <w:p>
      <w:pPr>
        <w:pStyle w:val="Compact"/>
        <w:numPr>
          <w:ilvl w:val="0"/>
          <w:numId w:val="1001"/>
        </w:numPr>
      </w:pPr>
      <w:r>
        <w:rPr>
          <w:b/>
          <w:bCs/>
        </w:rPr>
        <w:t xml:space="preserve">Japan remediation is contained operationally and financially;</w:t>
      </w:r>
    </w:p>
    <w:p>
      <w:pPr>
        <w:pStyle w:val="Compact"/>
        <w:numPr>
          <w:ilvl w:val="0"/>
          <w:numId w:val="1001"/>
        </w:numPr>
      </w:pPr>
      <w:r>
        <w:rPr>
          <w:b/>
          <w:bCs/>
        </w:rPr>
        <w:t xml:space="preserve">Core U.S. retirement and PGIM earnings are gaining durability;</w:t>
      </w:r>
      <w:r>
        <w:t xml:space="preserve"> </w:t>
      </w:r>
      <w:r>
        <w:t xml:space="preserve">and</w:t>
      </w:r>
    </w:p>
    <w:p>
      <w:pPr>
        <w:pStyle w:val="Compact"/>
        <w:numPr>
          <w:ilvl w:val="0"/>
          <w:numId w:val="1001"/>
        </w:numPr>
      </w:pPr>
      <w:r>
        <w:rPr>
          <w:b/>
          <w:bCs/>
        </w:rPr>
        <w:t xml:space="preserve">The strategic update promised for the 2Q call offers a credible path to a more focused, higher-return company.</w:t>
      </w:r>
    </w:p>
    <w:p>
      <w:pPr>
        <w:pStyle w:val="FirstParagraph"/>
      </w:pPr>
      <w:r>
        <w:t xml:space="preserve">The primary near-term risk remains the voluntary sales suspension at Prudential of Japan (POJ). Management has already quantified a substantial 2026 adjusted-operating-income headwind, but the market will want evidence that remediation, Life Planner retention, customer reimbursements, and the eventual sales restart remain on plan.</w:t>
      </w:r>
    </w:p>
    <w:p>
      <w:r>
        <w:pict>
          <v:rect style="width:0;height:1.5pt" o:hralign="center" o:hrstd="t" o:hr="t"/>
        </w:pict>
      </w:r>
    </w:p>
    <w:bookmarkEnd w:id="9"/>
    <w:bookmarkStart w:id="10" w:name="what-pru-delivered-in-1q26--the-baseline"/>
    <w:p>
      <w:pPr>
        <w:pStyle w:val="Heading2"/>
      </w:pPr>
      <w:r>
        <w:t xml:space="preserve">What PRU delivered in 1Q26 — the baseline</w:t>
      </w:r>
    </w:p>
    <w:p>
      <w:pPr>
        <w:pStyle w:val="FirstParagraph"/>
      </w:pPr>
      <w:r>
        <w:t xml:space="preserve">Prudential reported</w:t>
      </w:r>
      <w:r>
        <w:t xml:space="preserve"> </w:t>
      </w:r>
      <w:r>
        <w:rPr>
          <w:b/>
          <w:bCs/>
        </w:rPr>
        <w:t xml:space="preserve">after-tax adjusted operating income (AOI) of $1.278 billion, or</w:t>
      </w:r>
      <w:r>
        <w:rPr>
          <w:b/>
          <w:bCs/>
        </w:rPr>
        <w:t xml:space="preserve"> </w:t>
      </w:r>
      <m:oMath>
        <m:r>
          <m:t>3.61</m:t>
        </m:r>
        <m:r>
          <m:t>p</m:t>
        </m:r>
        <m:r>
          <m:t>e</m:t>
        </m:r>
        <m:r>
          <m:t>r</m:t>
        </m:r>
        <m:r>
          <m:t>s</m:t>
        </m:r>
        <m:r>
          <m:t>h</m:t>
        </m:r>
        <m:r>
          <m:t>a</m:t>
        </m:r>
        <m:r>
          <m:t>r</m:t>
        </m:r>
        <m:r>
          <m:t>e</m:t>
        </m:r>
        <m:r>
          <m:rPr>
            <m:sty m:val="p"/>
          </m:rPr>
          <m:t>*</m:t>
        </m:r>
        <m:r>
          <m:rPr>
            <m:sty m:val="p"/>
          </m:rPr>
          <m:t>*</m:t>
        </m:r>
        <m:r>
          <m:rPr>
            <m:sty m:val="p"/>
          </m:rPr>
          <m:t>,</m:t>
        </m:r>
        <m:r>
          <m:t>u</m:t>
        </m:r>
        <m:r>
          <m:t>p</m:t>
        </m:r>
        <m:r>
          <m:t>10</m:t>
        </m:r>
      </m:oMath>
      <w:r>
        <w:rPr>
          <w:b/>
          <w:bCs/>
        </w:rPr>
        <w:t xml:space="preserve">597 million / $1.68 per share</w:t>
      </w:r>
      <w:r>
        <w:t xml:space="preserve">, reflecting realized investment losses and market-risk-benefit valuation changes. That difference is important: for PRU, investors should focus primarily on adjusted operating income, segment trends, cash generation, capital, and book value rather than headline GAAP EPS alone.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jc w:val="right"/>
            </w:pPr>
            <w:r>
              <w:t xml:space="preserve">Year/year change</w:t>
            </w:r>
          </w:p>
        </w:tc>
      </w:tr>
      <w:tr>
        <w:tc>
          <w:tcPr/>
          <w:p>
            <w:pPr>
              <w:pStyle w:val="Compact"/>
            </w:pPr>
            <w:r>
              <w:t xml:space="preserve">Adjusted operating income</w:t>
            </w:r>
          </w:p>
        </w:tc>
        <w:tc>
          <w:tcPr/>
          <w:p>
            <w:pPr>
              <w:pStyle w:val="Compact"/>
              <w:jc w:val="right"/>
            </w:pPr>
            <w:r>
              <w:t xml:space="preserve">$1.278bn</w:t>
            </w:r>
          </w:p>
        </w:tc>
        <w:tc>
          <w:tcPr/>
          <w:p>
            <w:pPr>
              <w:pStyle w:val="Compact"/>
              <w:jc w:val="right"/>
            </w:pPr>
            <w:r>
              <w:t xml:space="preserve">+8%</w:t>
            </w:r>
          </w:p>
        </w:tc>
      </w:tr>
      <w:tr>
        <w:tc>
          <w:tcPr/>
          <w:p>
            <w:pPr>
              <w:pStyle w:val="Compact"/>
            </w:pPr>
            <w:r>
              <w:t xml:space="preserve">Adjusted operating EPS</w:t>
            </w:r>
          </w:p>
        </w:tc>
        <w:tc>
          <w:tcPr/>
          <w:p>
            <w:pPr>
              <w:pStyle w:val="Compact"/>
              <w:jc w:val="right"/>
            </w:pPr>
            <w:r>
              <w:t xml:space="preserve">$3.61</w:t>
            </w:r>
          </w:p>
        </w:tc>
        <w:tc>
          <w:tcPr/>
          <w:p>
            <w:pPr>
              <w:pStyle w:val="Compact"/>
              <w:jc w:val="right"/>
            </w:pPr>
            <w:r>
              <w:t xml:space="preserve">+10%</w:t>
            </w:r>
          </w:p>
        </w:tc>
      </w:tr>
      <w:tr>
        <w:tc>
          <w:tcPr/>
          <w:p>
            <w:pPr>
              <w:pStyle w:val="Compact"/>
            </w:pPr>
            <w:r>
              <w:t xml:space="preserve">PGIM pretax AOI</w:t>
            </w:r>
          </w:p>
        </w:tc>
        <w:tc>
          <w:tcPr/>
          <w:p>
            <w:pPr>
              <w:pStyle w:val="Compact"/>
              <w:jc w:val="right"/>
            </w:pPr>
            <w:r>
              <w:t xml:space="preserve">$190m</w:t>
            </w:r>
          </w:p>
        </w:tc>
        <w:tc>
          <w:tcPr/>
          <w:p>
            <w:pPr>
              <w:pStyle w:val="Compact"/>
              <w:jc w:val="right"/>
            </w:pPr>
            <w:r>
              <w:t xml:space="preserve">+22%</w:t>
            </w:r>
          </w:p>
        </w:tc>
      </w:tr>
      <w:tr>
        <w:tc>
          <w:tcPr/>
          <w:p>
            <w:pPr>
              <w:pStyle w:val="Compact"/>
            </w:pPr>
            <w:r>
              <w:t xml:space="preserve">U.S. Businesses pretax AOI</w:t>
            </w:r>
          </w:p>
        </w:tc>
        <w:tc>
          <w:tcPr/>
          <w:p>
            <w:pPr>
              <w:pStyle w:val="Compact"/>
              <w:jc w:val="right"/>
            </w:pPr>
            <w:r>
              <w:t xml:space="preserve">$956m</w:t>
            </w:r>
          </w:p>
        </w:tc>
        <w:tc>
          <w:tcPr/>
          <w:p>
            <w:pPr>
              <w:pStyle w:val="Compact"/>
              <w:jc w:val="right"/>
            </w:pPr>
            <w:r>
              <w:t xml:space="preserve">+3%</w:t>
            </w:r>
          </w:p>
        </w:tc>
      </w:tr>
      <w:tr>
        <w:tc>
          <w:tcPr/>
          <w:p>
            <w:pPr>
              <w:pStyle w:val="Compact"/>
            </w:pPr>
            <w:r>
              <w:t xml:space="preserve">International pretax AOI</w:t>
            </w:r>
          </w:p>
        </w:tc>
        <w:tc>
          <w:tcPr/>
          <w:p>
            <w:pPr>
              <w:pStyle w:val="Compact"/>
              <w:jc w:val="right"/>
            </w:pPr>
            <w:r>
              <w:t xml:space="preserve">$810m</w:t>
            </w:r>
          </w:p>
        </w:tc>
        <w:tc>
          <w:tcPr/>
          <w:p>
            <w:pPr>
              <w:pStyle w:val="Compact"/>
              <w:jc w:val="right"/>
            </w:pPr>
            <w:r>
              <w:t xml:space="preserve">-4%</w:t>
            </w:r>
          </w:p>
        </w:tc>
      </w:tr>
      <w:tr>
        <w:tc>
          <w:tcPr/>
          <w:p>
            <w:pPr>
              <w:pStyle w:val="Compact"/>
            </w:pPr>
            <w:r>
              <w:t xml:space="preserve">PGIM AUM</w:t>
            </w:r>
          </w:p>
        </w:tc>
        <w:tc>
          <w:tcPr/>
          <w:p>
            <w:pPr>
              <w:pStyle w:val="Compact"/>
              <w:jc w:val="right"/>
            </w:pPr>
            <w:r>
              <w:t xml:space="preserve">$1.433tn</w:t>
            </w:r>
          </w:p>
        </w:tc>
        <w:tc>
          <w:tcPr/>
          <w:p>
            <w:pPr>
              <w:pStyle w:val="Compact"/>
              <w:jc w:val="right"/>
            </w:pPr>
            <w:r>
              <w:t xml:space="preserve">+3%</w:t>
            </w:r>
          </w:p>
        </w:tc>
      </w:tr>
      <w:tr>
        <w:tc>
          <w:tcPr/>
          <w:p>
            <w:pPr>
              <w:pStyle w:val="Compact"/>
            </w:pPr>
            <w:r>
              <w:t xml:space="preserve">Adjusted book value/share</w:t>
            </w:r>
          </w:p>
        </w:tc>
        <w:tc>
          <w:tcPr/>
          <w:p>
            <w:pPr>
              <w:pStyle w:val="Compact"/>
              <w:jc w:val="right"/>
            </w:pPr>
            <w:r>
              <w:t xml:space="preserve">$99.79</w:t>
            </w:r>
          </w:p>
        </w:tc>
        <w:tc>
          <w:tcPr/>
          <w:p>
            <w:pPr>
              <w:pStyle w:val="Compact"/>
              <w:jc w:val="right"/>
            </w:pPr>
            <w:r>
              <w:t xml:space="preserve">+4%</w:t>
            </w:r>
          </w:p>
        </w:tc>
      </w:tr>
      <w:tr>
        <w:tc>
          <w:tcPr/>
          <w:p>
            <w:pPr>
              <w:pStyle w:val="Compact"/>
            </w:pPr>
            <w:r>
              <w:t xml:space="preserve">Capital returned in the quarter</w:t>
            </w:r>
          </w:p>
        </w:tc>
        <w:tc>
          <w:tcPr/>
          <w:p>
            <w:pPr>
              <w:pStyle w:val="Compact"/>
              <w:jc w:val="right"/>
            </w:pPr>
            <w:r>
              <w:t xml:space="preserve">$746m</w:t>
            </w:r>
          </w:p>
        </w:tc>
        <w:tc>
          <w:tcPr/>
          <w:p>
            <w:pPr>
              <w:pStyle w:val="Compact"/>
              <w:jc w:val="right"/>
            </w:pPr>
            <w:r>
              <w:t xml:space="preserve">—</w:t>
            </w:r>
          </w:p>
        </w:tc>
      </w:tr>
    </w:tbl>
    <w:p>
      <w:pPr>
        <w:pStyle w:val="BodyText"/>
      </w:pPr>
      <w:r>
        <w:t xml:space="preserve">The central question for 2Q is how much of the first-quarter operating momentum was repeatable, versus helped by episodic investment-prepayment income and timing items.</w:t>
      </w:r>
    </w:p>
    <w:p>
      <w:r>
        <w:pict>
          <v:rect style="width:0;height:1.5pt" o:hralign="center" o:hrstd="t" o:hr="t"/>
        </w:pict>
      </w:r>
    </w:p>
    <w:bookmarkEnd w:id="10"/>
    <w:bookmarkStart w:id="13" w:name="the-key-issue-prudential-of-japan"/>
    <w:p>
      <w:pPr>
        <w:pStyle w:val="Heading2"/>
      </w:pPr>
      <w:r>
        <w:t xml:space="preserve">The key issue: Prudential of Japan</w:t>
      </w:r>
    </w:p>
    <w:bookmarkStart w:id="11" w:name="why-it-matters"/>
    <w:p>
      <w:pPr>
        <w:pStyle w:val="Heading3"/>
      </w:pPr>
      <w:r>
        <w:t xml:space="preserve">Why it matters</w:t>
      </w:r>
    </w:p>
    <w:p>
      <w:pPr>
        <w:pStyle w:val="FirstParagraph"/>
      </w:pPr>
      <w:r>
        <w:t xml:space="preserve">POJ’s sales suspension is the clearest drag on 2026 earnings and the largest uncertainty around the stock. In 1Q, management said the suspension reduced International earnings by</w:t>
      </w:r>
      <w:r>
        <w:t xml:space="preserve"> </w:t>
      </w:r>
      <w:r>
        <w:rPr>
          <w:b/>
          <w:bCs/>
        </w:rPr>
        <w:t xml:space="preserve">$130 million</w:t>
      </w:r>
      <w:r>
        <w:t xml:space="preserve">, including approximately:</w:t>
      </w:r>
    </w:p>
    <w:p>
      <w:pPr>
        <w:pStyle w:val="Compact"/>
        <w:numPr>
          <w:ilvl w:val="0"/>
          <w:numId w:val="1002"/>
        </w:numPr>
      </w:pPr>
      <w:r>
        <w:rPr>
          <w:b/>
          <w:bCs/>
        </w:rPr>
        <w:t xml:space="preserve">$50 million</w:t>
      </w:r>
      <w:r>
        <w:t xml:space="preserve"> </w:t>
      </w:r>
      <w:r>
        <w:t xml:space="preserve">of customer reimbursements;</w:t>
      </w:r>
    </w:p>
    <w:p>
      <w:pPr>
        <w:pStyle w:val="Compact"/>
        <w:numPr>
          <w:ilvl w:val="0"/>
          <w:numId w:val="1002"/>
        </w:numPr>
      </w:pPr>
      <w:r>
        <w:rPr>
          <w:b/>
          <w:bCs/>
        </w:rPr>
        <w:t xml:space="preserve">$50 million</w:t>
      </w:r>
      <w:r>
        <w:t xml:space="preserve"> </w:t>
      </w:r>
      <w:r>
        <w:t xml:space="preserve">of Life Planner compensation support; and</w:t>
      </w:r>
    </w:p>
    <w:p>
      <w:pPr>
        <w:pStyle w:val="Compact"/>
        <w:numPr>
          <w:ilvl w:val="0"/>
          <w:numId w:val="1002"/>
        </w:numPr>
      </w:pPr>
      <w:r>
        <w:t xml:space="preserve">the balance from reduced sales and elevated surrenders.</w:t>
      </w:r>
    </w:p>
    <w:p>
      <w:pPr>
        <w:pStyle w:val="FirstParagraph"/>
      </w:pPr>
      <w:r>
        <w:t xml:space="preserve">Management’s full-year 2026 estimate remains a</w:t>
      </w:r>
      <w:r>
        <w:t xml:space="preserve"> </w:t>
      </w:r>
      <m:oMath>
        <m:r>
          <m:t>525</m:t>
        </m:r>
        <m:r>
          <m:t>m</m:t>
        </m:r>
        <m:r>
          <m:t>i</m:t>
        </m:r>
        <m:r>
          <m:t>l</m:t>
        </m:r>
        <m:r>
          <m:t>l</m:t>
        </m:r>
        <m:r>
          <m:t>i</m:t>
        </m:r>
        <m:r>
          <m:t>o</m:t>
        </m:r>
        <m:r>
          <m:t>n</m:t>
        </m:r>
        <m:r>
          <m:rPr>
            <m:sty m:val="p"/>
          </m:rPr>
          <m:t>–</m:t>
        </m:r>
      </m:oMath>
      <w:r>
        <w:rPr>
          <w:b/>
          <w:bCs/>
        </w:rPr>
        <w:t xml:space="preserve">575 million pretax AOI impact</w:t>
      </w:r>
      <w:r>
        <w:t xml:space="preserve">. Importantly, management explicitly said the impact should</w:t>
      </w:r>
      <w:r>
        <w:t xml:space="preserve"> </w:t>
      </w:r>
      <w:r>
        <w:rPr>
          <w:b/>
          <w:bCs/>
        </w:rPr>
        <w:t xml:space="preserve">build through the year</w:t>
      </w:r>
      <w:r>
        <w:t xml:space="preserve">, because the suspension began during February, the Q1 effect covered only about two months, and sales/lapse effects and Life Planner support are not linear.</w:t>
      </w:r>
    </w:p>
    <w:bookmarkEnd w:id="11"/>
    <w:bookmarkStart w:id="12" w:name="what-investors-should-listen-for"/>
    <w:p>
      <w:pPr>
        <w:pStyle w:val="Heading3"/>
      </w:pPr>
      <w:r>
        <w:t xml:space="preserve">What investors should listen for</w:t>
      </w:r>
    </w:p>
    <w:p>
      <w:pPr>
        <w:pStyle w:val="Compact"/>
        <w:numPr>
          <w:ilvl w:val="0"/>
          <w:numId w:val="1003"/>
        </w:numPr>
      </w:pPr>
      <w:r>
        <w:rPr>
          <w:b/>
          <w:bCs/>
        </w:rPr>
        <w:t xml:space="preserve">Is the full-year</w:t>
      </w:r>
      <w:r>
        <w:rPr>
          <w:b/>
          <w:bCs/>
        </w:rPr>
        <w:t xml:space="preserve"> </w:t>
      </w:r>
      <m:oMath>
        <m:r>
          <m:t>525</m:t>
        </m:r>
        <m:r>
          <m:t>m</m:t>
        </m:r>
        <m:r>
          <m:t>i</m:t>
        </m:r>
        <m:r>
          <m:t>l</m:t>
        </m:r>
        <m:r>
          <m:t>l</m:t>
        </m:r>
        <m:r>
          <m:t>i</m:t>
        </m:r>
        <m:r>
          <m:t>o</m:t>
        </m:r>
        <m:r>
          <m:t>n</m:t>
        </m:r>
        <m:r>
          <m:rPr>
            <m:sty m:val="p"/>
          </m:rPr>
          <m:t>–</m:t>
        </m:r>
      </m:oMath>
      <w:r>
        <w:rPr>
          <w:b/>
          <w:bCs/>
        </w:rPr>
        <w:t xml:space="preserve">575 million headwind unchanged?</w:t>
      </w:r>
      <w:r>
        <w:t xml:space="preserve"> </w:t>
      </w:r>
      <w:r>
        <w:t xml:space="preserve">Any increase would likely outweigh an otherwise good core-operating result.</w:t>
      </w:r>
    </w:p>
    <w:p>
      <w:pPr>
        <w:pStyle w:val="Compact"/>
        <w:numPr>
          <w:ilvl w:val="0"/>
          <w:numId w:val="1003"/>
        </w:numPr>
      </w:pPr>
      <w:r>
        <w:rPr>
          <w:b/>
          <w:bCs/>
        </w:rPr>
        <w:t xml:space="preserve">Can POJ still resume sales on November 5, 2026?</w:t>
      </w:r>
      <w:r>
        <w:t xml:space="preserve"> </w:t>
      </w:r>
      <w:r>
        <w:t xml:space="preserve">The timing is central to expectations for 2027.</w:t>
      </w:r>
    </w:p>
    <w:p>
      <w:pPr>
        <w:pStyle w:val="Compact"/>
        <w:numPr>
          <w:ilvl w:val="0"/>
          <w:numId w:val="1003"/>
        </w:numPr>
      </w:pPr>
      <w:r>
        <w:rPr>
          <w:b/>
          <w:bCs/>
        </w:rPr>
        <w:t xml:space="preserve">Has Life Planner retention remained stable?</w:t>
      </w:r>
      <w:r>
        <w:t xml:space="preserve"> </w:t>
      </w:r>
      <w:r>
        <w:t xml:space="preserve">In May, management said headcount was down less than 1% from the start of the year and that resignation trends were comparable with the prior year.</w:t>
      </w:r>
    </w:p>
    <w:p>
      <w:pPr>
        <w:pStyle w:val="Compact"/>
        <w:numPr>
          <w:ilvl w:val="0"/>
          <w:numId w:val="1003"/>
        </w:numPr>
      </w:pPr>
      <w:r>
        <w:rPr>
          <w:b/>
          <w:bCs/>
        </w:rPr>
        <w:t xml:space="preserve">What is happening with surrender activity and persistency?</w:t>
      </w:r>
      <w:r>
        <w:t xml:space="preserve"> </w:t>
      </w:r>
      <w:r>
        <w:t xml:space="preserve">Elevated surrenders were part of the company’s modeled impact; worse behavior would create downside risk.</w:t>
      </w:r>
    </w:p>
    <w:p>
      <w:pPr>
        <w:pStyle w:val="Compact"/>
        <w:numPr>
          <w:ilvl w:val="0"/>
          <w:numId w:val="1003"/>
        </w:numPr>
      </w:pPr>
      <w:r>
        <w:rPr>
          <w:b/>
          <w:bCs/>
        </w:rPr>
        <w:t xml:space="preserve">Are new reimbursement claims emerging, and are costs still within prior assumptions?</w:t>
      </w:r>
    </w:p>
    <w:p>
      <w:pPr>
        <w:pStyle w:val="FirstParagraph"/>
      </w:pPr>
      <w:r>
        <w:t xml:space="preserve">The July 24 update was directionally constructive in that it demonstrated remediation progress, but it also confirms that the process remains active. As of July 8, review had been completed or reimbursement made for</w:t>
      </w:r>
      <w:r>
        <w:t xml:space="preserve"> </w:t>
      </w:r>
      <w:r>
        <w:rPr>
          <w:b/>
          <w:bCs/>
        </w:rPr>
        <w:t xml:space="preserve">437 of the 498 individuals</w:t>
      </w:r>
      <w:r>
        <w:t xml:space="preserve"> </w:t>
      </w:r>
      <w:r>
        <w:t xml:space="preserve">in the original Prudential Life disclosure, while additional inquiries at Prudential Life and Gibraltar Life continued to be assessed. The company did not disclose a new enterprise-level earnings impact alongside that update.</w:t>
      </w:r>
    </w:p>
    <w:p>
      <w:pPr>
        <w:pStyle w:val="BodyText"/>
      </w:pPr>
      <w:r>
        <w:rPr>
          <w:b/>
          <w:bCs/>
        </w:rPr>
        <w:t xml:space="preserve">Investor read-through:</w:t>
      </w:r>
      <w:r>
        <w:t xml:space="preserve"> </w:t>
      </w:r>
      <w:r>
        <w:t xml:space="preserve">Keeping Japan guidance intact and affirming a November resumption path would remove an important uncertainty. Conversely, a delay, higher remediation expense, worsening lapse trends, or weaker agent retention would be the most material negative surprise.</w:t>
      </w:r>
    </w:p>
    <w:p>
      <w:r>
        <w:pict>
          <v:rect style="width:0;height:1.5pt" o:hralign="center" o:hrstd="t" o:hr="t"/>
        </w:pict>
      </w:r>
    </w:p>
    <w:bookmarkEnd w:id="12"/>
    <w:bookmarkEnd w:id="13"/>
    <w:bookmarkStart w:id="17" w:name="X5a36af66b470f0a00ef8f545228e03a82af016c"/>
    <w:p>
      <w:pPr>
        <w:pStyle w:val="Heading2"/>
      </w:pPr>
      <w:r>
        <w:t xml:space="preserve">Core earnings: retirement growth needs to offset Japan pressure</w:t>
      </w:r>
    </w:p>
    <w:bookmarkStart w:id="14" w:name="X1565a92382e9e9cc36bb9c52777cf272f997317"/>
    <w:p>
      <w:pPr>
        <w:pStyle w:val="Heading3"/>
      </w:pPr>
      <w:r>
        <w:t xml:space="preserve">Retirement: the most important positive swing factor</w:t>
      </w:r>
    </w:p>
    <w:p>
      <w:pPr>
        <w:pStyle w:val="FirstParagraph"/>
      </w:pPr>
      <w:r>
        <w:t xml:space="preserve">Retirement delivered</w:t>
      </w:r>
      <w:r>
        <w:t xml:space="preserve"> </w:t>
      </w:r>
      <m:oMath>
        <m:r>
          <m:t>572</m:t>
        </m:r>
        <m:r>
          <m:t>m</m:t>
        </m:r>
        <m:r>
          <m:t>i</m:t>
        </m:r>
        <m:r>
          <m:t>l</m:t>
        </m:r>
        <m:r>
          <m:t>l</m:t>
        </m:r>
        <m:r>
          <m:t>i</m:t>
        </m:r>
        <m:r>
          <m:t>o</m:t>
        </m:r>
        <m:r>
          <m:t>n</m:t>
        </m:r>
        <m:r>
          <m:t>o</m:t>
        </m:r>
        <m:r>
          <m:t>f</m:t>
        </m:r>
        <m:r>
          <m:t>p</m:t>
        </m:r>
        <m:r>
          <m:t>r</m:t>
        </m:r>
        <m:r>
          <m:t>e</m:t>
        </m:r>
        <m:r>
          <m:t>t</m:t>
        </m:r>
        <m:r>
          <m:t>a</m:t>
        </m:r>
        <m:r>
          <m:t>x</m:t>
        </m:r>
        <m:r>
          <m:t>A</m:t>
        </m:r>
        <m:r>
          <m:t>O</m:t>
        </m:r>
        <m:r>
          <m:t>I</m:t>
        </m:r>
        <m:r>
          <m:t>i</m:t>
        </m:r>
        <m:r>
          <m:t>n</m:t>
        </m:r>
        <m:r>
          <m:t>1</m:t>
        </m:r>
        <m:r>
          <m:t>Q</m:t>
        </m:r>
        <m:r>
          <m:rPr>
            <m:sty m:val="p"/>
          </m:rPr>
          <m:t>*</m:t>
        </m:r>
        <m:r>
          <m:rPr>
            <m:sty m:val="p"/>
          </m:rPr>
          <m:t>*</m:t>
        </m:r>
        <m:r>
          <m:rPr>
            <m:sty m:val="p"/>
          </m:rPr>
          <m:t>,</m:t>
        </m:r>
        <m:r>
          <m:t>u</m:t>
        </m:r>
        <m:r>
          <m:t>p</m:t>
        </m:r>
        <m:r>
          <m:t>9</m:t>
        </m:r>
      </m:oMath>
      <w:r>
        <w:rPr>
          <w:b/>
          <w:bCs/>
        </w:rPr>
        <w:t xml:space="preserve">3.3 billion</w:t>
      </w:r>
      <w:r>
        <w:t xml:space="preserve">, aided by the December 2025 launch of FlexGuard 2.0, while pension-risk-transfer (PRT) activity contributed</w:t>
      </w:r>
      <w:r>
        <w:t xml:space="preserve"> </w:t>
      </w:r>
      <w:r>
        <w:rPr>
          <w:b/>
          <w:bCs/>
        </w:rPr>
        <w:t xml:space="preserve">$1.4 billion</w:t>
      </w:r>
      <w:r>
        <w:t xml:space="preserve"> </w:t>
      </w:r>
      <w:r>
        <w:t xml:space="preserve">across four middle-market transactions.</w:t>
      </w:r>
    </w:p>
    <w:p>
      <w:pPr>
        <w:pStyle w:val="BodyText"/>
      </w:pPr>
      <w:r>
        <w:t xml:space="preserve">For 2Q, the market should distinguish between:</w:t>
      </w:r>
    </w:p>
    <w:p>
      <w:pPr>
        <w:pStyle w:val="Compact"/>
        <w:numPr>
          <w:ilvl w:val="0"/>
          <w:numId w:val="1004"/>
        </w:numPr>
      </w:pPr>
      <w:r>
        <w:rPr>
          <w:b/>
          <w:bCs/>
        </w:rPr>
        <w:t xml:space="preserve">Underlying growth:</w:t>
      </w:r>
      <w:r>
        <w:t xml:space="preserve"> </w:t>
      </w:r>
      <w:r>
        <w:t xml:space="preserve">spread income from a larger annuity and institutional-retirement base, retail-annuity sales, PRT wins, and account-value growth;</w:t>
      </w:r>
    </w:p>
    <w:p>
      <w:pPr>
        <w:pStyle w:val="Compact"/>
        <w:numPr>
          <w:ilvl w:val="0"/>
          <w:numId w:val="1004"/>
        </w:numPr>
      </w:pPr>
      <w:r>
        <w:rPr>
          <w:b/>
          <w:bCs/>
        </w:rPr>
        <w:t xml:space="preserve">Noise:</w:t>
      </w:r>
      <w:r>
        <w:t xml:space="preserve"> </w:t>
      </w:r>
      <w:r>
        <w:t xml:space="preserve">Q1 included roughly</w:t>
      </w:r>
      <w:r>
        <w:t xml:space="preserve"> </w:t>
      </w:r>
      <w:r>
        <w:rPr>
          <w:b/>
          <w:bCs/>
        </w:rPr>
        <w:t xml:space="preserve">$25 million</w:t>
      </w:r>
      <w:r>
        <w:t xml:space="preserve"> </w:t>
      </w:r>
      <w:r>
        <w:t xml:space="preserve">of prepayment income in Retirement, which management characterized as episodic.</w:t>
      </w:r>
    </w:p>
    <w:p>
      <w:pPr>
        <w:pStyle w:val="FirstParagraph"/>
      </w:pPr>
      <w:r>
        <w:rPr>
          <w:b/>
          <w:bCs/>
        </w:rPr>
        <w:t xml:space="preserve">What matters most:</w:t>
      </w:r>
      <w:r>
        <w:t xml:space="preserve"> </w:t>
      </w:r>
      <w:r>
        <w:t xml:space="preserve">whether PRU can show continued profitable retail annuity momentum without materially sacrificing pricing discipline, plus evidence that the company’s push into middle-market PRT is making results less dependent on sporadic jumbo transactions.</w:t>
      </w:r>
    </w:p>
    <w:bookmarkEnd w:id="14"/>
    <w:bookmarkStart w:id="15" w:name="Xb800cf474a30d1826a8ea5ee3fc6df56a8cd905"/>
    <w:p>
      <w:pPr>
        <w:pStyle w:val="Heading3"/>
      </w:pPr>
      <w:r>
        <w:t xml:space="preserve">Group Insurance: a potential source of scrutiny</w:t>
      </w:r>
    </w:p>
    <w:p>
      <w:pPr>
        <w:pStyle w:val="FirstParagraph"/>
      </w:pPr>
      <w:r>
        <w:t xml:space="preserve">Group Insurance produced only</w:t>
      </w:r>
      <w:r>
        <w:t xml:space="preserve"> </w:t>
      </w:r>
      <w:r>
        <w:rPr>
          <w:b/>
          <w:bCs/>
        </w:rPr>
        <w:t xml:space="preserve">$38 million</w:t>
      </w:r>
      <w:r>
        <w:t xml:space="preserve"> </w:t>
      </w:r>
      <w:r>
        <w:t xml:space="preserve">of pretax AOI in 1Q, versus $89 million a year earlier. Management pointed to higher long-term-disability claim incidence and severity, as well as higher expenses. The total benefits ratio of</w:t>
      </w:r>
      <w:r>
        <w:t xml:space="preserve"> </w:t>
      </w:r>
      <w:r>
        <w:rPr>
          <w:b/>
          <w:bCs/>
        </w:rPr>
        <w:t xml:space="preserve">83.7%</w:t>
      </w:r>
      <w:r>
        <w:t xml:space="preserve"> </w:t>
      </w:r>
      <w:r>
        <w:t xml:space="preserve">remained inside the company’s 83%–87% target range, but the segment was clearly weaker than the rest of the U.S. portfolio.</w:t>
      </w:r>
    </w:p>
    <w:p>
      <w:pPr>
        <w:pStyle w:val="BodyText"/>
      </w:pPr>
      <w:r>
        <w:t xml:space="preserve">For 2Q, investors should look for:</w:t>
      </w:r>
    </w:p>
    <w:p>
      <w:pPr>
        <w:pStyle w:val="Compact"/>
        <w:numPr>
          <w:ilvl w:val="0"/>
          <w:numId w:val="1005"/>
        </w:numPr>
      </w:pPr>
      <w:r>
        <w:t xml:space="preserve">stabilization or improvement in long-term-disability incidence and severity;</w:t>
      </w:r>
    </w:p>
    <w:p>
      <w:pPr>
        <w:pStyle w:val="Compact"/>
        <w:numPr>
          <w:ilvl w:val="0"/>
          <w:numId w:val="1005"/>
        </w:numPr>
      </w:pPr>
      <w:r>
        <w:t xml:space="preserve">benefits-ratio performance relative to the target range;</w:t>
      </w:r>
    </w:p>
    <w:p>
      <w:pPr>
        <w:pStyle w:val="Compact"/>
        <w:numPr>
          <w:ilvl w:val="0"/>
          <w:numId w:val="1005"/>
        </w:numPr>
      </w:pPr>
      <w:r>
        <w:t xml:space="preserve">whether sales growth—especially in supplemental health and the Premier middle-market business—continues; and</w:t>
      </w:r>
    </w:p>
    <w:p>
      <w:pPr>
        <w:pStyle w:val="Compact"/>
        <w:numPr>
          <w:ilvl w:val="0"/>
          <w:numId w:val="1005"/>
        </w:numPr>
      </w:pPr>
      <w:r>
        <w:t xml:space="preserve">signs that expense investments are translating into better claims and service execution.</w:t>
      </w:r>
    </w:p>
    <w:p>
      <w:pPr>
        <w:pStyle w:val="FirstParagraph"/>
      </w:pPr>
      <w:r>
        <w:t xml:space="preserve">A clean Group result would reinforce the idea that 1Q was a normalization issue rather than the beginning of a broader underwriting deterioration.</w:t>
      </w:r>
    </w:p>
    <w:bookmarkEnd w:id="15"/>
    <w:bookmarkStart w:id="16" w:name="X743f5fa8e9e4d98d836cf27ffb1c88f950f6ec1"/>
    <w:p>
      <w:pPr>
        <w:pStyle w:val="Heading3"/>
      </w:pPr>
      <w:r>
        <w:t xml:space="preserve">Individual Life and Legacy: quality of earnings versus runoff</w:t>
      </w:r>
    </w:p>
    <w:p>
      <w:pPr>
        <w:pStyle w:val="FirstParagraph"/>
      </w:pPr>
      <w:r>
        <w:t xml:space="preserve">Individual Life had a very strong 1Q, with AOI more than doubling to</w:t>
      </w:r>
      <w:r>
        <w:t xml:space="preserve"> </w:t>
      </w:r>
      <m:oMath>
        <m:r>
          <m:t>139</m:t>
        </m:r>
        <m:r>
          <m:t>m</m:t>
        </m:r>
        <m:r>
          <m:t>i</m:t>
        </m:r>
        <m:r>
          <m:t>l</m:t>
        </m:r>
        <m:r>
          <m:t>l</m:t>
        </m:r>
        <m:r>
          <m:t>i</m:t>
        </m:r>
        <m:r>
          <m:t>o</m:t>
        </m:r>
        <m:r>
          <m:t>n</m:t>
        </m:r>
        <m:r>
          <m:rPr>
            <m:sty m:val="p"/>
          </m:rPr>
          <m:t>*</m:t>
        </m:r>
        <m:r>
          <m:rPr>
            <m:sty m:val="p"/>
          </m:rPr>
          <m:t>*</m:t>
        </m:r>
        <m:r>
          <m:rPr>
            <m:sty m:val="p"/>
          </m:rPr>
          <m:t>,</m:t>
        </m:r>
        <m:r>
          <m:t>h</m:t>
        </m:r>
        <m:r>
          <m:t>e</m:t>
        </m:r>
        <m:r>
          <m:t>l</m:t>
        </m:r>
        <m:r>
          <m:t>p</m:t>
        </m:r>
        <m:r>
          <m:t>e</m:t>
        </m:r>
        <m:r>
          <m:t>d</m:t>
        </m:r>
        <m:r>
          <m:t>b</m:t>
        </m:r>
        <m:r>
          <m:t>y</m:t>
        </m:r>
        <m:r>
          <m:t>f</m:t>
        </m:r>
        <m:r>
          <m:t>a</m:t>
        </m:r>
        <m:r>
          <m:t>v</m:t>
        </m:r>
        <m:r>
          <m:t>o</m:t>
        </m:r>
        <m:r>
          <m:t>r</m:t>
        </m:r>
        <m:r>
          <m:t>a</m:t>
        </m:r>
        <m:r>
          <m:t>b</m:t>
        </m:r>
        <m:r>
          <m:t>l</m:t>
        </m:r>
        <m:r>
          <m:t>e</m:t>
        </m:r>
        <m:r>
          <m:t>m</m:t>
        </m:r>
        <m:r>
          <m:t>o</m:t>
        </m:r>
        <m:r>
          <m:t>r</m:t>
        </m:r>
        <m:r>
          <m:t>t</m:t>
        </m:r>
        <m:r>
          <m:t>a</m:t>
        </m:r>
        <m:r>
          <m:t>l</m:t>
        </m:r>
        <m:r>
          <m:t>i</m:t>
        </m:r>
        <m:r>
          <m:t>t</m:t>
        </m:r>
        <m:r>
          <m:t>y</m:t>
        </m:r>
        <m:r>
          <m:t>a</m:t>
        </m:r>
        <m:r>
          <m:t>n</m:t>
        </m:r>
        <m:r>
          <m:t>d</m:t>
        </m:r>
        <m:r>
          <m:t>h</m:t>
        </m:r>
        <m:r>
          <m:t>i</m:t>
        </m:r>
        <m:r>
          <m:t>g</m:t>
        </m:r>
        <m:r>
          <m:t>h</m:t>
        </m:r>
        <m:r>
          <m:t>e</m:t>
        </m:r>
        <m:r>
          <m:t>r</m:t>
        </m:r>
        <m:r>
          <m:t>s</m:t>
        </m:r>
        <m:r>
          <m:t>p</m:t>
        </m:r>
        <m:r>
          <m:t>r</m:t>
        </m:r>
        <m:r>
          <m:t>e</m:t>
        </m:r>
        <m:r>
          <m:t>a</m:t>
        </m:r>
        <m:r>
          <m:t>d</m:t>
        </m:r>
        <m:r>
          <m:t>i</m:t>
        </m:r>
        <m:r>
          <m:t>n</m:t>
        </m:r>
        <m:r>
          <m:t>c</m:t>
        </m:r>
        <m:r>
          <m:t>o</m:t>
        </m:r>
        <m:r>
          <m:t>m</m:t>
        </m:r>
        <m:r>
          <m:t>e</m:t>
        </m:r>
        <m:r>
          <m:rPr>
            <m:sty m:val="p"/>
          </m:rPr>
          <m:t>.</m:t>
        </m:r>
        <m:r>
          <m:t>T</m:t>
        </m:r>
        <m:r>
          <m:t>h</m:t>
        </m:r>
        <m:r>
          <m:t>e</m:t>
        </m:r>
        <m:r>
          <m:t>n</m:t>
        </m:r>
        <m:r>
          <m:t>e</m:t>
        </m:r>
        <m:r>
          <m:t>w</m:t>
        </m:r>
        <m:r>
          <m:t>l</m:t>
        </m:r>
        <m:r>
          <m:t>y</m:t>
        </m:r>
        <m:r>
          <m:t>s</m:t>
        </m:r>
        <m:r>
          <m:t>e</m:t>
        </m:r>
        <m:r>
          <m:t>p</m:t>
        </m:r>
        <m:r>
          <m:t>a</m:t>
        </m:r>
        <m:r>
          <m:t>r</m:t>
        </m:r>
        <m:r>
          <m:t>a</m:t>
        </m:r>
        <m:r>
          <m:t>t</m:t>
        </m:r>
        <m:r>
          <m:t>e</m:t>
        </m:r>
        <m:r>
          <m:t>d</m:t>
        </m:r>
        <m:r>
          <m:t>U</m:t>
        </m:r>
        <m:r>
          <m:rPr>
            <m:sty m:val="p"/>
          </m:rPr>
          <m:t>.</m:t>
        </m:r>
        <m:r>
          <m:t>S</m:t>
        </m:r>
        <m:r>
          <m:rPr>
            <m:sty m:val="p"/>
          </m:rPr>
          <m:t>.</m:t>
        </m:r>
        <m:r>
          <m:t>L</m:t>
        </m:r>
        <m:r>
          <m:t>e</m:t>
        </m:r>
        <m:r>
          <m:t>g</m:t>
        </m:r>
        <m:r>
          <m:t>a</m:t>
        </m:r>
        <m:r>
          <m:t>c</m:t>
        </m:r>
        <m:r>
          <m:t>y</m:t>
        </m:r>
        <m:r>
          <m:t>P</m:t>
        </m:r>
        <m:r>
          <m:t>r</m:t>
        </m:r>
        <m:r>
          <m:t>o</m:t>
        </m:r>
        <m:r>
          <m:t>d</m:t>
        </m:r>
        <m:r>
          <m:t>u</m:t>
        </m:r>
        <m:r>
          <m:t>c</m:t>
        </m:r>
        <m:r>
          <m:t>t</m:t>
        </m:r>
        <m:r>
          <m:t>s</m:t>
        </m:r>
        <m:r>
          <m:t>s</m:t>
        </m:r>
        <m:r>
          <m:t>e</m:t>
        </m:r>
        <m:r>
          <m:t>g</m:t>
        </m:r>
        <m:r>
          <m:t>m</m:t>
        </m:r>
        <m:r>
          <m:t>e</m:t>
        </m:r>
        <m:r>
          <m:t>n</m:t>
        </m:r>
        <m:r>
          <m:t>t</m:t>
        </m:r>
        <m:r>
          <m:rPr>
            <m:sty m:val="p"/>
          </m:rPr>
          <m:t>,</m:t>
        </m:r>
        <m:r>
          <m:t>m</m:t>
        </m:r>
        <m:r>
          <m:t>e</m:t>
        </m:r>
        <m:r>
          <m:t>a</m:t>
        </m:r>
        <m:r>
          <m:t>n</m:t>
        </m:r>
        <m:r>
          <m:t>w</m:t>
        </m:r>
        <m:r>
          <m:t>h</m:t>
        </m:r>
        <m:r>
          <m:t>i</m:t>
        </m:r>
        <m:r>
          <m:t>l</m:t>
        </m:r>
        <m:r>
          <m:t>e</m:t>
        </m:r>
        <m:r>
          <m:rPr>
            <m:sty m:val="p"/>
          </m:rPr>
          <m:t>,</m:t>
        </m:r>
        <m:r>
          <m:t>r</m:t>
        </m:r>
        <m:r>
          <m:t>e</m:t>
        </m:r>
        <m:r>
          <m:t>p</m:t>
        </m:r>
        <m:r>
          <m:t>o</m:t>
        </m:r>
        <m:r>
          <m:t>r</m:t>
        </m:r>
        <m:r>
          <m:t>t</m:t>
        </m:r>
        <m:r>
          <m:t>e</m:t>
        </m:r>
        <m:r>
          <m:t>d</m:t>
        </m:r>
        <m:r>
          <m:rPr>
            <m:sty m:val="p"/>
          </m:rPr>
          <m:t>*</m:t>
        </m:r>
        <m:r>
          <m:rPr>
            <m:sty m:val="p"/>
          </m:rPr>
          <m:t>*</m:t>
        </m:r>
      </m:oMath>
      <w:r>
        <w:rPr>
          <w:b/>
          <w:bCs/>
        </w:rPr>
        <w:t xml:space="preserve">207 million</w:t>
      </w:r>
      <w:r>
        <w:t xml:space="preserve">, down 22%, as expected from variable-annuity runoff and less favorable guaranteed-universal-life underwriting.</w:t>
      </w:r>
    </w:p>
    <w:p>
      <w:pPr>
        <w:pStyle w:val="BodyText"/>
      </w:pPr>
      <w:r>
        <w:t xml:space="preserve">The segmentation helps investors see the key distinction:</w:t>
      </w:r>
    </w:p>
    <w:p>
      <w:pPr>
        <w:pStyle w:val="Compact"/>
        <w:numPr>
          <w:ilvl w:val="0"/>
          <w:numId w:val="1006"/>
        </w:numPr>
      </w:pPr>
      <w:r>
        <w:rPr>
          <w:b/>
          <w:bCs/>
        </w:rPr>
        <w:t xml:space="preserve">Individual Life</w:t>
      </w:r>
      <w:r>
        <w:t xml:space="preserve"> </w:t>
      </w:r>
      <w:r>
        <w:t xml:space="preserve">is intended to be a growth business with improved capital efficiency and attractive new-business economics.</w:t>
      </w:r>
    </w:p>
    <w:p>
      <w:pPr>
        <w:pStyle w:val="Compact"/>
        <w:numPr>
          <w:ilvl w:val="0"/>
          <w:numId w:val="1006"/>
        </w:numPr>
      </w:pPr>
      <w:r>
        <w:rPr>
          <w:b/>
          <w:bCs/>
        </w:rPr>
        <w:t xml:space="preserve">Legacy Products</w:t>
      </w:r>
      <w:r>
        <w:t xml:space="preserve"> </w:t>
      </w:r>
      <w:r>
        <w:t xml:space="preserve">is a runoff portfolio whose declining fee revenue and reserve dynamics can obscure the underlying franchise.</w:t>
      </w:r>
    </w:p>
    <w:p>
      <w:pPr>
        <w:pStyle w:val="FirstParagraph"/>
      </w:pPr>
      <w:r>
        <w:t xml:space="preserve">The main watch item is whether Individual Life sustains its stronger mortality and sales trends while the legacy runoff remains orderly.</w:t>
      </w:r>
    </w:p>
    <w:p>
      <w:r>
        <w:pict>
          <v:rect style="width:0;height:1.5pt" o:hralign="center" o:hrstd="t" o:hr="t"/>
        </w:pict>
      </w:r>
    </w:p>
    <w:bookmarkEnd w:id="16"/>
    <w:bookmarkEnd w:id="17"/>
    <w:bookmarkStart w:id="18" w:name="X56d342663606f68fba96034c16077f07e43973e"/>
    <w:p>
      <w:pPr>
        <w:pStyle w:val="Heading2"/>
      </w:pPr>
      <w:r>
        <w:t xml:space="preserve">PGIM: flows and margins matter more than AUM</w:t>
      </w:r>
    </w:p>
    <w:p>
      <w:pPr>
        <w:pStyle w:val="FirstParagraph"/>
      </w:pPr>
      <w:r>
        <w:t xml:space="preserve">PGIM posted a strong 1Q, with pretax AOI up 22% to</w:t>
      </w:r>
      <w:r>
        <w:t xml:space="preserve"> </w:t>
      </w:r>
      <m:oMath>
        <m:r>
          <m:t>190</m:t>
        </m:r>
        <m:r>
          <m:t>m</m:t>
        </m:r>
        <m:r>
          <m:t>i</m:t>
        </m:r>
        <m:r>
          <m:t>l</m:t>
        </m:r>
        <m:r>
          <m:t>l</m:t>
        </m:r>
        <m:r>
          <m:t>i</m:t>
        </m:r>
        <m:r>
          <m:t>o</m:t>
        </m:r>
        <m:r>
          <m:t>n</m:t>
        </m:r>
        <m:r>
          <m:rPr>
            <m:sty m:val="p"/>
          </m:rPr>
          <m:t>*</m:t>
        </m:r>
        <m:r>
          <m:rPr>
            <m:sty m:val="p"/>
          </m:rPr>
          <m:t>*</m:t>
        </m:r>
        <m:r>
          <m:t>a</m:t>
        </m:r>
        <m:r>
          <m:t>n</m:t>
        </m:r>
        <m:r>
          <m:t>d</m:t>
        </m:r>
        <m:r>
          <m:t>a</m:t>
        </m:r>
        <m:r>
          <m:rPr>
            <m:sty m:val="p"/>
          </m:rPr>
          <m:t>*</m:t>
        </m:r>
        <m:r>
          <m:rPr>
            <m:sty m:val="p"/>
          </m:rPr>
          <m:t>*</m:t>
        </m:r>
        <m:r>
          <m:t>19.1</m:t>
        </m:r>
      </m:oMath>
      <w:r>
        <w:rPr>
          <w:b/>
          <w:bCs/>
        </w:rPr>
        <w:t xml:space="preserve">100 million of gross annual run-rate savings</w:t>
      </w:r>
      <w:r>
        <w:t xml:space="preserve"> </w:t>
      </w:r>
      <w:r>
        <w:t xml:space="preserve">and more than</w:t>
      </w:r>
      <w:r>
        <w:t xml:space="preserve"> </w:t>
      </w:r>
      <w:r>
        <w:rPr>
          <w:b/>
          <w:bCs/>
        </w:rPr>
        <w:t xml:space="preserve">200 basis points of margin expansion during 2026</w:t>
      </w:r>
      <w:r>
        <w:t xml:space="preserve">, on the way toward a 25%–30% longer-term margin target.</w:t>
      </w:r>
    </w:p>
    <w:p>
      <w:pPr>
        <w:pStyle w:val="BodyText"/>
      </w:pPr>
      <w:r>
        <w:t xml:space="preserve">However, AUM growth alone is not enough. The key indicators for 2Q are:</w:t>
      </w:r>
    </w:p>
    <w:p>
      <w:pPr>
        <w:pStyle w:val="Compact"/>
        <w:numPr>
          <w:ilvl w:val="0"/>
          <w:numId w:val="1007"/>
        </w:numPr>
      </w:pPr>
      <w:r>
        <w:rPr>
          <w:b/>
          <w:bCs/>
        </w:rPr>
        <w:t xml:space="preserve">Third-party net flows</w:t>
      </w:r>
      <w:r>
        <w:t xml:space="preserve"> </w:t>
      </w:r>
      <w:r>
        <w:t xml:space="preserve">— 1Q third-party inflows were $1.8 billion, with fixed income offsetting active-equity outflows.</w:t>
      </w:r>
    </w:p>
    <w:p>
      <w:pPr>
        <w:pStyle w:val="Compact"/>
        <w:numPr>
          <w:ilvl w:val="0"/>
          <w:numId w:val="1007"/>
        </w:numPr>
      </w:pPr>
      <w:r>
        <w:rPr>
          <w:b/>
          <w:bCs/>
        </w:rPr>
        <w:t xml:space="preserve">Private-assets fundraising and deployment</w:t>
      </w:r>
      <w:r>
        <w:t xml:space="preserve"> </w:t>
      </w:r>
      <w:r>
        <w:t xml:space="preserve">— especially direct lending and asset-backed finance, where PRU sees higher-fee, higher-margin growth.</w:t>
      </w:r>
    </w:p>
    <w:p>
      <w:pPr>
        <w:pStyle w:val="Compact"/>
        <w:numPr>
          <w:ilvl w:val="0"/>
          <w:numId w:val="1007"/>
        </w:numPr>
      </w:pPr>
      <w:r>
        <w:rPr>
          <w:b/>
          <w:bCs/>
        </w:rPr>
        <w:t xml:space="preserve">Retail ETF progress</w:t>
      </w:r>
      <w:r>
        <w:t xml:space="preserve"> </w:t>
      </w:r>
      <w:r>
        <w:t xml:space="preserve">— active ETFs had nearly $30 billion of AUM at the end of 1Q.</w:t>
      </w:r>
    </w:p>
    <w:p>
      <w:pPr>
        <w:pStyle w:val="Compact"/>
        <w:numPr>
          <w:ilvl w:val="0"/>
          <w:numId w:val="1007"/>
        </w:numPr>
      </w:pPr>
      <w:r>
        <w:rPr>
          <w:b/>
          <w:bCs/>
        </w:rPr>
        <w:t xml:space="preserve">Expense discipline and margin progression</w:t>
      </w:r>
      <w:r>
        <w:t xml:space="preserve"> </w:t>
      </w:r>
      <w:r>
        <w:t xml:space="preserve">— this is central to the rerating case for PGIM.</w:t>
      </w:r>
    </w:p>
    <w:p>
      <w:pPr>
        <w:pStyle w:val="Compact"/>
        <w:numPr>
          <w:ilvl w:val="0"/>
          <w:numId w:val="1007"/>
        </w:numPr>
      </w:pPr>
      <w:r>
        <w:rPr>
          <w:b/>
          <w:bCs/>
        </w:rPr>
        <w:t xml:space="preserve">Real estate and active-equity pressure</w:t>
      </w:r>
      <w:r>
        <w:t xml:space="preserve"> </w:t>
      </w:r>
      <w:r>
        <w:t xml:space="preserve">— persistent outflows or fee compression in these categories would temper the margin story.</w:t>
      </w:r>
    </w:p>
    <w:p>
      <w:pPr>
        <w:pStyle w:val="FirstParagraph"/>
      </w:pPr>
      <w:r>
        <w:t xml:space="preserve">A second consecutive quarter of positive third-party flows and visible margin expansion would be a meaningful positive for the PRU thesis.</w:t>
      </w:r>
    </w:p>
    <w:p>
      <w:r>
        <w:pict>
          <v:rect style="width:0;height:1.5pt" o:hralign="center" o:hrstd="t" o:hr="t"/>
        </w:pict>
      </w:r>
    </w:p>
    <w:bookmarkEnd w:id="18"/>
    <w:bookmarkStart w:id="19" w:name="Xec2744d04946fc301b97ed7d3693badbbe93381"/>
    <w:p>
      <w:pPr>
        <w:pStyle w:val="Heading2"/>
      </w:pPr>
      <w:r>
        <w:t xml:space="preserve">Capital deployment and balance sheet: likely a source of support</w:t>
      </w:r>
    </w:p>
    <w:p>
      <w:pPr>
        <w:pStyle w:val="FirstParagraph"/>
      </w:pPr>
      <w:r>
        <w:t xml:space="preserve">PRU finished 1Q with</w:t>
      </w:r>
      <w:r>
        <w:t xml:space="preserve"> </w:t>
      </w:r>
      <w:r>
        <w:rPr>
          <w:b/>
          <w:bCs/>
        </w:rPr>
        <w:t xml:space="preserve">$3.7 billion</w:t>
      </w:r>
      <w:r>
        <w:t xml:space="preserve"> </w:t>
      </w:r>
      <w:r>
        <w:t xml:space="preserve">of parent-company highly liquid assets, above its</w:t>
      </w:r>
      <w:r>
        <w:t xml:space="preserve"> </w:t>
      </w:r>
      <m:oMath>
        <m:r>
          <m:t>3</m:t>
        </m:r>
        <m:r>
          <m:t>b</m:t>
        </m:r>
        <m:r>
          <m:t>i</m:t>
        </m:r>
        <m:r>
          <m:t>l</m:t>
        </m:r>
        <m:r>
          <m:t>l</m:t>
        </m:r>
        <m:r>
          <m:t>i</m:t>
        </m:r>
        <m:r>
          <m:t>o</m:t>
        </m:r>
        <m:r>
          <m:t>n</m:t>
        </m:r>
        <m:r>
          <m:t>m</m:t>
        </m:r>
        <m:r>
          <m:t>i</m:t>
        </m:r>
        <m:r>
          <m:t>n</m:t>
        </m:r>
        <m:r>
          <m:t>i</m:t>
        </m:r>
        <m:r>
          <m:t>m</m:t>
        </m:r>
        <m:r>
          <m:t>u</m:t>
        </m:r>
        <m:r>
          <m:t>m</m:t>
        </m:r>
        <m:r>
          <m:t>t</m:t>
        </m:r>
        <m:r>
          <m:t>a</m:t>
        </m:r>
        <m:r>
          <m:t>r</m:t>
        </m:r>
        <m:r>
          <m:t>g</m:t>
        </m:r>
        <m:r>
          <m:t>e</m:t>
        </m:r>
        <m:r>
          <m:t>t</m:t>
        </m:r>
        <m:r>
          <m:rPr>
            <m:sty m:val="p"/>
          </m:rPr>
          <m:t>,</m:t>
        </m:r>
        <m:r>
          <m:t>a</m:t>
        </m:r>
        <m:r>
          <m:t>n</m:t>
        </m:r>
        <m:r>
          <m:t>d</m:t>
        </m:r>
        <m:r>
          <m:t>e</m:t>
        </m:r>
        <m:r>
          <m:t>s</m:t>
        </m:r>
        <m:r>
          <m:t>t</m:t>
        </m:r>
        <m:r>
          <m:t>i</m:t>
        </m:r>
        <m:r>
          <m:t>m</m:t>
        </m:r>
        <m:r>
          <m:t>a</m:t>
        </m:r>
        <m:r>
          <m:t>t</m:t>
        </m:r>
        <m:r>
          <m:t>e</m:t>
        </m:r>
        <m:r>
          <m:t>d</m:t>
        </m:r>
        <m:r>
          <m:t>i</m:t>
        </m:r>
        <m:r>
          <m:t>t</m:t>
        </m:r>
        <m:r>
          <m:t>s</m:t>
        </m:r>
        <m:r>
          <m:t>e</m:t>
        </m:r>
        <m:r>
          <m:t>c</m:t>
        </m:r>
        <m:r>
          <m:t>o</m:t>
        </m:r>
        <m:r>
          <m:t>n</m:t>
        </m:r>
        <m:r>
          <m:t>o</m:t>
        </m:r>
        <m:r>
          <m:t>m</m:t>
        </m:r>
        <m:r>
          <m:t>i</m:t>
        </m:r>
        <m:r>
          <m:t>c</m:t>
        </m:r>
        <m:r>
          <m:t>s</m:t>
        </m:r>
        <m:r>
          <m:t>o</m:t>
        </m:r>
        <m:r>
          <m:t>l</m:t>
        </m:r>
        <m:r>
          <m:t>v</m:t>
        </m:r>
        <m:r>
          <m:t>e</m:t>
        </m:r>
        <m:r>
          <m:t>n</m:t>
        </m:r>
        <m:r>
          <m:t>c</m:t>
        </m:r>
        <m:r>
          <m:t>y</m:t>
        </m:r>
        <m:r>
          <m:t>r</m:t>
        </m:r>
        <m:r>
          <m:t>a</m:t>
        </m:r>
        <m:r>
          <m:t>t</m:t>
        </m:r>
        <m:r>
          <m:t>i</m:t>
        </m:r>
        <m:r>
          <m:t>o</m:t>
        </m:r>
        <m:r>
          <m:t>a</m:t>
        </m:r>
        <m:r>
          <m:t>t</m:t>
        </m:r>
        <m:r>
          <m:rPr>
            <m:sty m:val="p"/>
          </m:rPr>
          <m:t>*</m:t>
        </m:r>
        <m:r>
          <m:rPr>
            <m:sty m:val="p"/>
          </m:rPr>
          <m:t>*</m:t>
        </m:r>
        <m:r>
          <m:t>170</m:t>
        </m:r>
      </m:oMath>
      <w:r>
        <w:t xml:space="preserve">746 million** to shareholders in 1Q—$250 million of repurchases and $496 million of dividends.</w:t>
      </w:r>
    </w:p>
    <w:p>
      <w:pPr>
        <w:pStyle w:val="BodyText"/>
      </w:pPr>
      <w:r>
        <w:t xml:space="preserve">Management previously said POJ’s issues should not materially affect capital, cash flow, or planned shareholder distributions in 2026–27. Investors should test that assertion against any updated Japan commentary.</w:t>
      </w:r>
    </w:p>
    <w:p>
      <w:pPr>
        <w:pStyle w:val="BodyText"/>
      </w:pPr>
      <w:r>
        <w:t xml:space="preserve">Key items:</w:t>
      </w:r>
    </w:p>
    <w:p>
      <w:pPr>
        <w:pStyle w:val="Compact"/>
        <w:numPr>
          <w:ilvl w:val="0"/>
          <w:numId w:val="1008"/>
        </w:numPr>
      </w:pPr>
      <w:r>
        <w:t xml:space="preserve">repurchase pace and remaining authorization;</w:t>
      </w:r>
    </w:p>
    <w:p>
      <w:pPr>
        <w:pStyle w:val="Compact"/>
        <w:numPr>
          <w:ilvl w:val="0"/>
          <w:numId w:val="1008"/>
        </w:numPr>
      </w:pPr>
      <w:r>
        <w:t xml:space="preserve">dividend outlook;</w:t>
      </w:r>
    </w:p>
    <w:p>
      <w:pPr>
        <w:pStyle w:val="Compact"/>
        <w:numPr>
          <w:ilvl w:val="0"/>
          <w:numId w:val="1008"/>
        </w:numPr>
      </w:pPr>
      <w:r>
        <w:t xml:space="preserve">parent liquidity relative to the $3 billion floor;</w:t>
      </w:r>
    </w:p>
    <w:p>
      <w:pPr>
        <w:pStyle w:val="Compact"/>
        <w:numPr>
          <w:ilvl w:val="0"/>
          <w:numId w:val="1008"/>
        </w:numPr>
      </w:pPr>
      <w:r>
        <w:t xml:space="preserve">adjusted book value per share;</w:t>
      </w:r>
    </w:p>
    <w:p>
      <w:pPr>
        <w:pStyle w:val="Compact"/>
        <w:numPr>
          <w:ilvl w:val="0"/>
          <w:numId w:val="1008"/>
        </w:numPr>
      </w:pPr>
      <w:r>
        <w:t xml:space="preserve">capital strain associated with retirement sales and PRT volumes; and</w:t>
      </w:r>
    </w:p>
    <w:p>
      <w:pPr>
        <w:pStyle w:val="Compact"/>
        <w:numPr>
          <w:ilvl w:val="0"/>
          <w:numId w:val="1008"/>
        </w:numPr>
      </w:pPr>
      <w:r>
        <w:t xml:space="preserve">any change in expectations for Japan-related cash flows.</w:t>
      </w:r>
    </w:p>
    <w:p>
      <w:r>
        <w:pict>
          <v:rect style="width:0;height:1.5pt" o:hralign="center" o:hrstd="t" o:hr="t"/>
        </w:pict>
      </w:r>
    </w:p>
    <w:bookmarkEnd w:id="19"/>
    <w:bookmarkStart w:id="20" w:name="X7c4009522d8efbd8aa7e6a6a2cca3475e2d7ae0"/>
    <w:p>
      <w:pPr>
        <w:pStyle w:val="Heading2"/>
      </w:pPr>
      <w:r>
        <w:t xml:space="preserve">The strategic update may matter as much as the quarter</w:t>
      </w:r>
    </w:p>
    <w:p>
      <w:pPr>
        <w:pStyle w:val="FirstParagraph"/>
      </w:pPr>
      <w:r>
        <w:t xml:space="preserve">Management said it would provide more detail on long-term strategy during the August 2Q call. That creates an unusual catalyst: investors will evaluate not only quarterly numbers, but also whether PRU can articulate a more focused business mix and capital-allocation framework.</w:t>
      </w:r>
    </w:p>
    <w:p>
      <w:pPr>
        <w:pStyle w:val="BodyText"/>
      </w:pPr>
      <w:r>
        <w:t xml:space="preserve">The broad direction already signaled includes:</w:t>
      </w:r>
    </w:p>
    <w:p>
      <w:pPr>
        <w:pStyle w:val="Compact"/>
        <w:numPr>
          <w:ilvl w:val="0"/>
          <w:numId w:val="1009"/>
        </w:numPr>
      </w:pPr>
      <w:r>
        <w:t xml:space="preserve">leaning into</w:t>
      </w:r>
      <w:r>
        <w:t xml:space="preserve"> </w:t>
      </w:r>
      <w:r>
        <w:rPr>
          <w:b/>
          <w:bCs/>
        </w:rPr>
        <w:t xml:space="preserve">retirement</w:t>
      </w:r>
      <w:r>
        <w:t xml:space="preserve"> </w:t>
      </w:r>
      <w:r>
        <w:t xml:space="preserve">and</w:t>
      </w:r>
      <w:r>
        <w:t xml:space="preserve"> </w:t>
      </w:r>
      <w:r>
        <w:rPr>
          <w:b/>
          <w:bCs/>
        </w:rPr>
        <w:t xml:space="preserve">asset management</w:t>
      </w:r>
      <w:r>
        <w:t xml:space="preserve">;</w:t>
      </w:r>
    </w:p>
    <w:p>
      <w:pPr>
        <w:pStyle w:val="Compact"/>
        <w:numPr>
          <w:ilvl w:val="0"/>
          <w:numId w:val="1009"/>
        </w:numPr>
      </w:pPr>
      <w:r>
        <w:t xml:space="preserve">simplifying the organization;</w:t>
      </w:r>
    </w:p>
    <w:p>
      <w:pPr>
        <w:pStyle w:val="Compact"/>
        <w:numPr>
          <w:ilvl w:val="0"/>
          <w:numId w:val="1009"/>
        </w:numPr>
      </w:pPr>
      <w:r>
        <w:t xml:space="preserve">exiting markets where PRU lacks sufficient scale or leadership potential;</w:t>
      </w:r>
    </w:p>
    <w:p>
      <w:pPr>
        <w:pStyle w:val="Compact"/>
        <w:numPr>
          <w:ilvl w:val="0"/>
          <w:numId w:val="1009"/>
        </w:numPr>
      </w:pPr>
      <w:r>
        <w:t xml:space="preserve">reallocating capital toward larger markets with structural growth; and</w:t>
      </w:r>
    </w:p>
    <w:p>
      <w:pPr>
        <w:pStyle w:val="Compact"/>
        <w:numPr>
          <w:ilvl w:val="0"/>
          <w:numId w:val="1009"/>
        </w:numPr>
      </w:pPr>
      <w:r>
        <w:t xml:space="preserve">generating efficiency benefits, including approximately</w:t>
      </w:r>
      <w:r>
        <w:t xml:space="preserve"> </w:t>
      </w:r>
      <w:r>
        <w:rPr>
          <w:b/>
          <w:bCs/>
        </w:rPr>
        <w:t xml:space="preserve">$150 million of 2027 run-rate savings</w:t>
      </w:r>
      <w:r>
        <w:t xml:space="preserve"> </w:t>
      </w:r>
      <w:r>
        <w:t xml:space="preserve">linked to prior restructuring actions.</w:t>
      </w:r>
    </w:p>
    <w:p>
      <w:pPr>
        <w:pStyle w:val="FirstParagraph"/>
      </w:pPr>
      <w:r>
        <w:t xml:space="preserve">The most constructive outcome would be a strategy that is specific about portfolio priorities, earnings and return objectives, the PGIM margin trajectory, expense savings, and capital deployment. A high-level message without measurable milestones could disappoint after the stock’s run.</w:t>
      </w:r>
    </w:p>
    <w:p>
      <w:r>
        <w:pict>
          <v:rect style="width:0;height:1.5pt" o:hralign="center" o:hrstd="t" o:hr="t"/>
        </w:pict>
      </w:r>
    </w:p>
    <w:bookmarkEnd w:id="20"/>
    <w:bookmarkStart w:id="23" w:name="earnings-day-scorecard"/>
    <w:p>
      <w:pPr>
        <w:pStyle w:val="Heading2"/>
      </w:pPr>
      <w:r>
        <w:t xml:space="preserve">Earnings-day scorecard</w:t>
      </w:r>
    </w:p>
    <w:bookmarkStart w:id="21" w:name="bullish-outcome"/>
    <w:p>
      <w:pPr>
        <w:pStyle w:val="Heading3"/>
      </w:pPr>
      <w:r>
        <w:t xml:space="preserve">Bullish outcome</w:t>
      </w:r>
    </w:p>
    <w:p>
      <w:pPr>
        <w:pStyle w:val="Compact"/>
        <w:numPr>
          <w:ilvl w:val="0"/>
          <w:numId w:val="1010"/>
        </w:numPr>
      </w:pPr>
      <w:r>
        <w:t xml:space="preserve">POJ’s full-year earnings impact and November 5 restart timeline are reaffirmed.</w:t>
      </w:r>
    </w:p>
    <w:p>
      <w:pPr>
        <w:pStyle w:val="Compact"/>
        <w:numPr>
          <w:ilvl w:val="0"/>
          <w:numId w:val="1010"/>
        </w:numPr>
      </w:pPr>
      <w:r>
        <w:t xml:space="preserve">Retirement sales and spread income remain strong, with evidence that growth is profitable rather than price-led.</w:t>
      </w:r>
    </w:p>
    <w:p>
      <w:pPr>
        <w:pStyle w:val="Compact"/>
        <w:numPr>
          <w:ilvl w:val="0"/>
          <w:numId w:val="1010"/>
        </w:numPr>
      </w:pPr>
      <w:r>
        <w:t xml:space="preserve">Group disability trends stabilize.</w:t>
      </w:r>
    </w:p>
    <w:p>
      <w:pPr>
        <w:pStyle w:val="Compact"/>
        <w:numPr>
          <w:ilvl w:val="0"/>
          <w:numId w:val="1010"/>
        </w:numPr>
      </w:pPr>
      <w:r>
        <w:t xml:space="preserve">PGIM posts positive third-party flows and further margin improvement.</w:t>
      </w:r>
    </w:p>
    <w:p>
      <w:pPr>
        <w:pStyle w:val="Compact"/>
        <w:numPr>
          <w:ilvl w:val="0"/>
          <w:numId w:val="1010"/>
        </w:numPr>
      </w:pPr>
      <w:r>
        <w:t xml:space="preserve">Capital return remains intact.</w:t>
      </w:r>
    </w:p>
    <w:p>
      <w:pPr>
        <w:pStyle w:val="Compact"/>
        <w:numPr>
          <w:ilvl w:val="0"/>
          <w:numId w:val="1010"/>
        </w:numPr>
      </w:pPr>
      <w:r>
        <w:t xml:space="preserve">The strategy update introduces concrete targets and a credible simplification/capital-reallocation plan.</w:t>
      </w:r>
    </w:p>
    <w:bookmarkEnd w:id="21"/>
    <w:bookmarkStart w:id="22" w:name="bearish-outcome"/>
    <w:p>
      <w:pPr>
        <w:pStyle w:val="Heading3"/>
      </w:pPr>
      <w:r>
        <w:t xml:space="preserve">Bearish outcome</w:t>
      </w:r>
    </w:p>
    <w:p>
      <w:pPr>
        <w:pStyle w:val="Compact"/>
        <w:numPr>
          <w:ilvl w:val="0"/>
          <w:numId w:val="1011"/>
        </w:numPr>
      </w:pPr>
      <w:r>
        <w:t xml:space="preserve">Japan cost guidance rises, remediation broadens, or the planned sales restart slips.</w:t>
      </w:r>
    </w:p>
    <w:p>
      <w:pPr>
        <w:pStyle w:val="Compact"/>
        <w:numPr>
          <w:ilvl w:val="0"/>
          <w:numId w:val="1011"/>
        </w:numPr>
      </w:pPr>
      <w:r>
        <w:t xml:space="preserve">Higher surrender activity or Life Planner attrition raises concern about longer-term Japan earnings power.</w:t>
      </w:r>
    </w:p>
    <w:p>
      <w:pPr>
        <w:pStyle w:val="Compact"/>
        <w:numPr>
          <w:ilvl w:val="0"/>
          <w:numId w:val="1011"/>
        </w:numPr>
      </w:pPr>
      <w:r>
        <w:t xml:space="preserve">Retirement earnings weaken after stripping out Q1 prepayment income, or sales require greater economic concessions.</w:t>
      </w:r>
    </w:p>
    <w:p>
      <w:pPr>
        <w:pStyle w:val="Compact"/>
        <w:numPr>
          <w:ilvl w:val="0"/>
          <w:numId w:val="1011"/>
        </w:numPr>
      </w:pPr>
      <w:r>
        <w:t xml:space="preserve">Group disability claims deteriorate further.</w:t>
      </w:r>
    </w:p>
    <w:p>
      <w:pPr>
        <w:pStyle w:val="Compact"/>
        <w:numPr>
          <w:ilvl w:val="0"/>
          <w:numId w:val="1011"/>
        </w:numPr>
      </w:pPr>
      <w:r>
        <w:t xml:space="preserve">PGIM flows weaken or margin progress stalls.</w:t>
      </w:r>
    </w:p>
    <w:p>
      <w:pPr>
        <w:pStyle w:val="Compact"/>
        <w:numPr>
          <w:ilvl w:val="0"/>
          <w:numId w:val="1011"/>
        </w:numPr>
      </w:pPr>
      <w:r>
        <w:t xml:space="preserve">Strategic commentary lacks measurable financial targets.</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t xml:space="preserve">PRU’s 2Q26 report is fundamentally a</w:t>
      </w:r>
      <w:r>
        <w:t xml:space="preserve"> </w:t>
      </w:r>
      <w:r>
        <w:rPr>
          <w:b/>
          <w:bCs/>
        </w:rPr>
        <w:t xml:space="preserve">credibility and execution test</w:t>
      </w:r>
      <w:r>
        <w:t xml:space="preserve">. The company has several favorable operating trends—retirement sales, improving PGIM profitability, a clearer separation of growth businesses from runoff blocks, and robust capital flexibility. But those positives must be weighed against the Japan disruption, which is both financially material and reputationally sensitive.</w:t>
      </w:r>
    </w:p>
    <w:p>
      <w:pPr>
        <w:pStyle w:val="BodyText"/>
      </w:pPr>
      <w:r>
        <w:t xml:space="preserve">The most important takeaway will be whether management can demonstrate that</w:t>
      </w:r>
      <w:r>
        <w:t xml:space="preserve"> </w:t>
      </w:r>
      <w:r>
        <w:rPr>
          <w:b/>
          <w:bCs/>
        </w:rPr>
        <w:t xml:space="preserve">core earnings momentum is absorbing the Japan headwind while remediation remains bounded and the strategic reset is becoming more tangible</w:t>
      </w:r>
      <w:r>
        <w:t xml:space="preserve">. With the shares having appreciated materially since the first-quarter release, simply meeting expectations may not be enough; investors are likely to demand confirmation that the improvement in PRU’s earnings quality, focus, and returns is sustainable.</w:t>
      </w:r>
    </w:p>
    <w:p>
      <w:pPr>
        <w:pStyle w:val="BodyText"/>
      </w:pPr>
      <w:r>
        <w:rPr>
          <w:i/>
          <w:iCs/>
        </w:rPr>
        <w:t xml:space="preserve">Sources: Prudential’s 1Q26 earnings release and conference-call transcript; July 24, 2026 Japan remediation update; historical PRU share-price data.</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2026-08-04T02:05:31Z</dcterms:created>
  <dcterms:modified xsi:type="dcterms:W3CDTF">2026-08-04T02:05:31Z</dcterms:modified>
</cp:coreProperties>
</file>

<file path=docProps/custom.xml><?xml version="1.0" encoding="utf-8"?>
<Properties xmlns="http://schemas.openxmlformats.org/officeDocument/2006/custom-properties" xmlns:vt="http://schemas.openxmlformats.org/officeDocument/2006/docPropsVTypes"/>
</file>