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Bdr>
          <w:bottom w:val="single" w:sz="4" w:space="1" w:color="FB9120"/>
        </w:pBdr>
      </w:pPr>
      <w:r>
        <w:rPr>
          <w:rFonts w:ascii="Calibri" w:hAnsi="Calibri"/>
          <w:b/>
          <w:color w:val="3B4259"/>
          <w:sz w:val="40"/>
        </w:rPr>
        <w:t>Prudential Financial, Inc. (PRU) — Q2 2026 Earnings Preview</w:t>
      </w:r>
    </w:p>
    <w:tbl>
      <w:tblPr>
        <w:tblStyle w:val="TableGrid"/>
        <w:tblW w:type="auto" w:w="0"/>
        <w:tblLook w:firstColumn="1" w:firstRow="1" w:lastColumn="0" w:lastRow="0" w:noHBand="0" w:noVBand="1" w:val="04A0"/>
      </w:tblPr>
      <w:tblGrid>
        <w:gridCol w:w="4320"/>
        <w:gridCol w:w="4320"/>
      </w:tblGrid>
      <w:tr>
        <w:tc>
          <w:tcPr>
            <w:tcW w:type="dxa" w:w="4320"/>
          </w:tcPr>
          <w:p>
            <w:r>
              <w:rPr>
                <w:rFonts w:ascii="Calibri" w:hAnsi="Calibri"/>
                <w:b/>
                <w:sz w:val="22"/>
              </w:rPr>
              <w:t>Ticker</w:t>
            </w:r>
          </w:p>
        </w:tc>
        <w:tc>
          <w:tcPr>
            <w:tcW w:type="dxa" w:w="4320"/>
          </w:tcPr>
          <w:p>
            <w:r>
              <w:rPr>
                <w:rFonts w:ascii="Calibri" w:hAnsi="Calibri"/>
                <w:sz w:val="22"/>
              </w:rPr>
              <w:t>PRU</w:t>
            </w:r>
          </w:p>
        </w:tc>
      </w:tr>
      <w:tr>
        <w:tc>
          <w:tcPr>
            <w:tcW w:type="dxa" w:w="4320"/>
          </w:tcPr>
          <w:p>
            <w:r>
              <w:rPr>
                <w:rFonts w:ascii="Calibri" w:hAnsi="Calibri"/>
                <w:b/>
                <w:sz w:val="22"/>
              </w:rPr>
              <w:t>Reporting Period</w:t>
            </w:r>
          </w:p>
        </w:tc>
        <w:tc>
          <w:tcPr>
            <w:tcW w:type="dxa" w:w="4320"/>
          </w:tcPr>
          <w:p>
            <w:r>
              <w:rPr>
                <w:rFonts w:ascii="Calibri" w:hAnsi="Calibri"/>
                <w:sz w:val="22"/>
              </w:rPr>
              <w:t>Q2 2026 (quarter ended June 30, 2026)</w:t>
            </w:r>
          </w:p>
        </w:tc>
      </w:tr>
      <w:tr>
        <w:tc>
          <w:tcPr>
            <w:tcW w:type="dxa" w:w="4320"/>
          </w:tcPr>
          <w:p>
            <w:r>
              <w:rPr>
                <w:rFonts w:ascii="Calibri" w:hAnsi="Calibri"/>
                <w:b/>
                <w:sz w:val="22"/>
              </w:rPr>
              <w:t>Earnings Date</w:t>
            </w:r>
          </w:p>
        </w:tc>
        <w:tc>
          <w:tcPr>
            <w:tcW w:type="dxa" w:w="4320"/>
          </w:tcPr>
          <w:p>
            <w:r>
              <w:rPr>
                <w:rFonts w:ascii="Calibri" w:hAnsi="Calibri"/>
                <w:sz w:val="22"/>
              </w:rPr>
              <w:t>August 5, 2026 — Earnings &amp; Strategy Call, 11:00 AM ET</w:t>
            </w:r>
          </w:p>
        </w:tc>
      </w:tr>
      <w:tr>
        <w:tc>
          <w:tcPr>
            <w:tcW w:type="dxa" w:w="4320"/>
          </w:tcPr>
          <w:p>
            <w:r>
              <w:rPr>
                <w:rFonts w:ascii="Calibri" w:hAnsi="Calibri"/>
                <w:b/>
                <w:sz w:val="22"/>
              </w:rPr>
              <w:t>Last Earnings</w:t>
            </w:r>
          </w:p>
        </w:tc>
        <w:tc>
          <w:tcPr>
            <w:tcW w:type="dxa" w:w="4320"/>
          </w:tcPr>
          <w:p>
            <w:r>
              <w:rPr>
                <w:rFonts w:ascii="Calibri" w:hAnsi="Calibri"/>
                <w:sz w:val="22"/>
              </w:rPr>
              <w:t>May 5–6, 2026 (Q1 2026)</w:t>
            </w:r>
          </w:p>
        </w:tc>
      </w:tr>
      <w:tr>
        <w:tc>
          <w:tcPr>
            <w:tcW w:type="dxa" w:w="4320"/>
          </w:tcPr>
          <w:p>
            <w:r>
              <w:rPr>
                <w:rFonts w:ascii="Calibri" w:hAnsi="Calibri"/>
                <w:b/>
                <w:sz w:val="22"/>
              </w:rPr>
              <w:t>Prepared</w:t>
            </w:r>
          </w:p>
        </w:tc>
        <w:tc>
          <w:tcPr>
            <w:tcW w:type="dxa" w:w="4320"/>
          </w:tcPr>
          <w:p>
            <w:r>
              <w:rPr>
                <w:rFonts w:ascii="Calibri" w:hAnsi="Calibri"/>
                <w:sz w:val="22"/>
              </w:rPr>
              <w:t>August 3, 2026</w:t>
            </w:r>
          </w:p>
        </w:tc>
      </w:tr>
      <w:tr>
        <w:tc>
          <w:tcPr>
            <w:tcW w:type="dxa" w:w="4320"/>
          </w:tcPr>
          <w:p>
            <w:r>
              <w:rPr>
                <w:rFonts w:ascii="Calibri" w:hAnsi="Calibri"/>
                <w:b/>
                <w:sz w:val="22"/>
              </w:rPr>
              <w:t>Sector ETF Benchmark</w:t>
            </w:r>
          </w:p>
        </w:tc>
        <w:tc>
          <w:tcPr>
            <w:tcW w:type="dxa" w:w="4320"/>
          </w:tcPr>
          <w:p>
            <w:r>
              <w:rPr>
                <w:rFonts w:ascii="Calibri" w:hAnsi="Calibri"/>
                <w:sz w:val="22"/>
              </w:rPr>
              <w:t>KIE (SPDR S&amp;P Insurance ETF — insurance sub-sector)</w:t>
            </w:r>
          </w:p>
        </w:tc>
      </w:tr>
    </w:tbl>
    <w:p>
      <w:r>
        <w:br w:type="page"/>
      </w:r>
    </w:p>
    <w:p>
      <w:pPr>
        <w:pStyle w:val="Heading1"/>
        <w:pBdr>
          <w:bottom w:val="single" w:sz="4" w:space="1" w:color="FB9120"/>
        </w:pBdr>
      </w:pPr>
      <w:r>
        <w:rPr>
          <w:rFonts w:ascii="Calibri" w:hAnsi="Calibri"/>
          <w:b/>
          <w:color w:val="3B4259"/>
          <w:sz w:val="40"/>
        </w:rPr>
        <w:t>1. Earnings Preview</w:t>
      </w:r>
    </w:p>
    <w:p>
      <w:r>
        <w:rPr>
          <w:rFonts w:ascii="Calibri" w:hAnsi="Calibri"/>
          <w:b/>
          <w:color w:val="525866"/>
          <w:sz w:val="22"/>
        </w:rPr>
        <w:t xml:space="preserve">Key Takeaway: </w:t>
      </w:r>
      <w:r>
        <w:rPr>
          <w:rFonts w:ascii="Calibri" w:hAnsi="Calibri"/>
          <w:color w:val="525866"/>
          <w:sz w:val="22"/>
        </w:rPr>
        <w:t>The bar is manageable but not low — consensus Core EPS of ~$3.51 sits below Q1’s $3.77 actual, and the July 15 pre-announcement of a $20–$40M alt-investment income shortfall plus a net $65M actuarial charge (Retirement −$90M, International +$80M, Group Insurance +$30M, Individual Life +$30M, U.S. Legacy +$15M) has already been absorbed into estimates; the biggest swing factor is whether the August strategic update reframes the portfolio simplification story convincingly enough to re-rate the stock.</w:t>
      </w:r>
    </w:p>
    <w:p>
      <w:r>
        <w:rPr>
          <w:rFonts w:ascii="Calibri" w:hAnsi="Calibri"/>
          <w:b/>
          <w:color w:val="525866"/>
          <w:sz w:val="22"/>
        </w:rPr>
        <w:t xml:space="preserve">Heading into the Q2 2026 print, PRU’s setup is constructive but nuanced. </w:t>
      </w:r>
      <w:r>
        <w:rPr>
          <w:rFonts w:ascii="Calibri" w:hAnsi="Calibri"/>
          <w:color w:val="525866"/>
          <w:sz w:val="22"/>
        </w:rPr>
        <w:t>Consensus Core EPS of $3.51 is down ~7% sequentially from Q1’s $3.77 beat, reflecting the known headwinds: alternative investment income running $20–$40M below near-term expectations (disclosed July 15), a net actuarial charge of approximately $65M pre-tax, and the ongoing Japan sales suspension (POJ) which management guided would produce a non-linear, growing drag through the year toward a full-year $525–$575M pretax AOI impact. Estimates have been volatile since Q1 — the revision trail shows a dip to $3.42 in late June before recovering to $3.51 by late July, suggesting the Street has largely digested the July 15 pre-announcement. The stock has been a standout performer since Q1 earnings, up ~22% vs. KIE +14% and S&amp;P 500 roughly flat, driven almost entirely by multiple expansion (P/E re-rated from ~7.6x to ~8.5x NTM) rather than estimate revisions, which actually drifted lower — a setup that demands the August strategic update deliver a credible long-term earnings power narrative to sustain the move. The wildcard is the scope and specificity of the strategic portfolio simplification announcement: management explicitly teased a “long-term vision and strategy” update on the Q2 call, and any concrete divestiture targets, capital redeployment framework, or PGIM margin acceleration beyond the 25–30% target could be the catalyst that either validates the re-rating or exposes it as premature.</w:t>
      </w:r>
    </w:p>
    <w:p>
      <w:r>
        <w:br w:type="page"/>
      </w:r>
    </w:p>
    <w:p>
      <w:pPr>
        <w:pStyle w:val="Heading1"/>
        <w:pBdr>
          <w:bottom w:val="single" w:sz="4" w:space="1" w:color="FB9120"/>
        </w:pBdr>
      </w:pPr>
      <w:r>
        <w:rPr>
          <w:rFonts w:ascii="Calibri" w:hAnsi="Calibri"/>
          <w:b/>
          <w:color w:val="3B4259"/>
          <w:sz w:val="40"/>
        </w:rPr>
        <w:t>2. KPIs &amp; Consensus Expectations</w:t>
      </w:r>
    </w:p>
    <w:p>
      <w:r>
        <w:rPr>
          <w:rFonts w:ascii="Calibri" w:hAnsi="Calibri"/>
          <w:b/>
          <w:color w:val="525866"/>
          <w:sz w:val="22"/>
        </w:rPr>
        <w:t xml:space="preserve">Key Takeaway: </w:t>
      </w:r>
      <w:r>
        <w:rPr>
          <w:rFonts w:ascii="Calibri" w:hAnsi="Calibri"/>
          <w:color w:val="525866"/>
          <w:sz w:val="22"/>
        </w:rPr>
        <w:t xml:space="preserve">Consensus sets a modest bar on Core EPS ($3.51 vs. $3.77 in Q1) with the July 15 pre-announcement already baking in alt-income and actuarial headwinds; </w:t>
      </w:r>
      <w:r>
        <w:rPr>
          <w:rFonts w:ascii="Calibri" w:hAnsi="Calibri"/>
          <w:color w:val="525866"/>
          <w:sz w:val="22"/>
        </w:rPr>
        <w:t>PGIM AUM ($1.48T consensus) and margin trajectory are the bigger swing factors for the stock given the strategic update context.</w:t>
      </w:r>
    </w:p>
    <w:p>
      <w:pPr>
        <w:pStyle w:val="Heading2"/>
      </w:pPr>
      <w:r>
        <w:rPr>
          <w:rFonts w:ascii="Calibri" w:hAnsi="Calibri"/>
          <w:b/>
          <w:color w:val="3B4259"/>
          <w:sz w:val="28"/>
        </w:rPr>
        <w:t>Table 1 — Current Quarter Snapshot (Q2 2026 Key KPIs)</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KPI</w:t>
            </w:r>
          </w:p>
        </w:tc>
        <w:tc>
          <w:tcPr>
            <w:tcW w:type="dxa" w:w="1234"/>
            <w:shd w:val="clear" w:color="auto" w:fill="3B4259"/>
          </w:tcPr>
          <w:p>
            <w:r>
              <w:rPr>
                <w:rFonts w:ascii="Calibri" w:hAnsi="Calibri"/>
                <w:b/>
                <w:color w:val="FFFFFF"/>
                <w:sz w:val="22"/>
              </w:rPr>
              <w:t>Q1 2026 Actual</w:t>
            </w:r>
          </w:p>
        </w:tc>
        <w:tc>
          <w:tcPr>
            <w:tcW w:type="dxa" w:w="1234"/>
            <w:shd w:val="clear" w:color="auto" w:fill="3B4259"/>
          </w:tcPr>
          <w:p>
            <w:r>
              <w:rPr>
                <w:rFonts w:ascii="Calibri" w:hAnsi="Calibri"/>
                <w:b/>
                <w:color w:val="FFFFFF"/>
                <w:sz w:val="22"/>
              </w:rPr>
              <w:t>Q2 2025 Actual (Prior Year)</w:t>
            </w:r>
          </w:p>
        </w:tc>
        <w:tc>
          <w:tcPr>
            <w:tcW w:type="dxa" w:w="1234"/>
            <w:shd w:val="clear" w:color="auto" w:fill="3B4259"/>
          </w:tcPr>
          <w:p>
            <w:r>
              <w:rPr>
                <w:rFonts w:ascii="Calibri" w:hAnsi="Calibri"/>
                <w:b/>
                <w:color w:val="FFFFFF"/>
                <w:sz w:val="22"/>
              </w:rPr>
              <w:t>Q2 2026 Consensus Estimate</w:t>
            </w:r>
          </w:p>
        </w:tc>
        <w:tc>
          <w:tcPr>
            <w:tcW w:type="dxa" w:w="1234"/>
            <w:shd w:val="clear" w:color="auto" w:fill="3B4259"/>
          </w:tcPr>
          <w:p>
            <w:r>
              <w:rPr>
                <w:rFonts w:ascii="Calibri" w:hAnsi="Calibri"/>
                <w:b/>
                <w:color w:val="FFFFFF"/>
                <w:sz w:val="22"/>
              </w:rPr>
              <w:t>YoY Change</w:t>
            </w:r>
          </w:p>
        </w:tc>
        <w:tc>
          <w:tcPr>
            <w:tcW w:type="dxa" w:w="1234"/>
            <w:shd w:val="clear" w:color="auto" w:fill="3B4259"/>
          </w:tcPr>
          <w:p>
            <w:r>
              <w:rPr>
                <w:rFonts w:ascii="Calibri" w:hAnsi="Calibri"/>
                <w:b/>
                <w:color w:val="FFFFFF"/>
                <w:sz w:val="22"/>
              </w:rPr>
              <w:t>Guidance / Management Target</w:t>
            </w:r>
          </w:p>
        </w:tc>
        <w:tc>
          <w:tcPr>
            <w:tcW w:type="dxa" w:w="1234"/>
            <w:shd w:val="clear" w:color="auto" w:fill="3B4259"/>
          </w:tcPr>
          <w:p>
            <w:r>
              <w:rPr>
                <w:rFonts w:ascii="Calibri" w:hAnsi="Calibri"/>
                <w:b/>
                <w:color w:val="FFFFFF"/>
                <w:sz w:val="22"/>
              </w:rPr>
              <w:t>Consensus vs. Guidance</w:t>
            </w:r>
          </w:p>
        </w:tc>
      </w:tr>
      <w:tr>
        <w:tc>
          <w:tcPr>
            <w:tcW w:type="dxa" w:w="1234"/>
          </w:tcPr>
          <w:p>
            <w:r>
              <w:rPr>
                <w:rFonts w:ascii="Calibri" w:hAnsi="Calibri"/>
                <w:sz w:val="22"/>
              </w:rPr>
              <w:t>Core EPS — Diluted ($)</w:t>
            </w:r>
          </w:p>
        </w:tc>
        <w:tc>
          <w:tcPr>
            <w:tcW w:type="dxa" w:w="1234"/>
          </w:tcPr>
          <w:p>
            <w:r>
              <w:rPr>
                <w:rFonts w:ascii="Calibri" w:hAnsi="Calibri"/>
                <w:sz w:val="22"/>
              </w:rPr>
              <w:t>$3.77</w:t>
            </w:r>
          </w:p>
        </w:tc>
        <w:tc>
          <w:tcPr>
            <w:tcW w:type="dxa" w:w="1234"/>
          </w:tcPr>
          <w:p>
            <w:r>
              <w:rPr>
                <w:rFonts w:ascii="Calibri" w:hAnsi="Calibri"/>
                <w:sz w:val="22"/>
              </w:rPr>
              <w:t>$3.57</w:t>
            </w:r>
          </w:p>
        </w:tc>
        <w:tc>
          <w:tcPr>
            <w:tcW w:type="dxa" w:w="1234"/>
          </w:tcPr>
          <w:p>
            <w:r>
              <w:rPr>
                <w:rFonts w:ascii="Calibri" w:hAnsi="Calibri"/>
                <w:sz w:val="22"/>
              </w:rPr>
              <w:t>$3.51</w:t>
            </w:r>
          </w:p>
        </w:tc>
        <w:tc>
          <w:tcPr>
            <w:tcW w:type="dxa" w:w="1234"/>
          </w:tcPr>
          <w:p>
            <w:r>
              <w:rPr>
                <w:rFonts w:ascii="Calibri" w:hAnsi="Calibri"/>
                <w:sz w:val="22"/>
              </w:rPr>
              <w:t>−1.7%</w:t>
            </w:r>
          </w:p>
        </w:tc>
        <w:tc>
          <w:tcPr>
            <w:tcW w:type="dxa" w:w="1234"/>
          </w:tcPr>
          <w:p>
            <w:r>
              <w:rPr>
                <w:rFonts w:ascii="Calibri" w:hAnsi="Calibri"/>
                <w:sz w:val="22"/>
              </w:rPr>
              <w:t>No explicit Q2 EPS guidance; FY2026 implied by $525–$575M Japan AOI drag</w:t>
            </w:r>
          </w:p>
        </w:tc>
        <w:tc>
          <w:tcPr>
            <w:tcW w:type="dxa" w:w="1234"/>
          </w:tcPr>
          <w:p>
            <w:r>
              <w:rPr>
                <w:rFonts w:ascii="Calibri" w:hAnsi="Calibri"/>
                <w:sz w:val="22"/>
              </w:rPr>
              <w:t>N/A (no quarterly EPS guide)</w:t>
            </w:r>
          </w:p>
        </w:tc>
      </w:tr>
      <w:tr>
        <w:tc>
          <w:tcPr>
            <w:tcW w:type="dxa" w:w="1234"/>
          </w:tcPr>
          <w:p>
            <w:r>
              <w:rPr>
                <w:rFonts w:ascii="Calibri" w:hAnsi="Calibri"/>
                <w:sz w:val="22"/>
              </w:rPr>
              <w:t>PGIM Total AUM ($T)</w:t>
            </w:r>
          </w:p>
        </w:tc>
        <w:tc>
          <w:tcPr>
            <w:tcW w:type="dxa" w:w="1234"/>
          </w:tcPr>
          <w:p>
            <w:r>
              <w:rPr>
                <w:rFonts w:ascii="Calibri" w:hAnsi="Calibri"/>
                <w:sz w:val="22"/>
              </w:rPr>
              <w:t>$1.433T</w:t>
            </w:r>
          </w:p>
        </w:tc>
        <w:tc>
          <w:tcPr>
            <w:tcW w:type="dxa" w:w="1234"/>
          </w:tcPr>
          <w:p>
            <w:r>
              <w:rPr>
                <w:rFonts w:ascii="Calibri" w:hAnsi="Calibri"/>
                <w:sz w:val="22"/>
              </w:rPr>
              <w:t>$1.441T</w:t>
            </w:r>
          </w:p>
        </w:tc>
        <w:tc>
          <w:tcPr>
            <w:tcW w:type="dxa" w:w="1234"/>
          </w:tcPr>
          <w:p>
            <w:r>
              <w:rPr>
                <w:rFonts w:ascii="Calibri" w:hAnsi="Calibri"/>
                <w:sz w:val="22"/>
              </w:rPr>
              <w:t>$1.484T</w:t>
            </w:r>
          </w:p>
        </w:tc>
        <w:tc>
          <w:tcPr>
            <w:tcW w:type="dxa" w:w="1234"/>
          </w:tcPr>
          <w:p>
            <w:r>
              <w:rPr>
                <w:rFonts w:ascii="Calibri" w:hAnsi="Calibri"/>
                <w:sz w:val="22"/>
              </w:rPr>
              <w:t>+3.0%</w:t>
            </w:r>
          </w:p>
        </w:tc>
        <w:tc>
          <w:tcPr>
            <w:tcW w:type="dxa" w:w="1234"/>
          </w:tcPr>
          <w:p>
            <w:r>
              <w:rPr>
                <w:rFonts w:ascii="Calibri" w:hAnsi="Calibri"/>
                <w:sz w:val="22"/>
              </w:rPr>
              <w:t>Pre-announced at $1.49T (July 15 8-K)</w:t>
            </w:r>
          </w:p>
        </w:tc>
        <w:tc>
          <w:tcPr>
            <w:tcW w:type="dxa" w:w="1234"/>
          </w:tcPr>
          <w:p>
            <w:r>
              <w:rPr>
                <w:rFonts w:ascii="Calibri" w:hAnsi="Calibri"/>
                <w:sz w:val="22"/>
              </w:rPr>
              <w:t>−0.4% vs. pre-announced $1.49T</w:t>
            </w:r>
          </w:p>
        </w:tc>
      </w:tr>
      <w:tr>
        <w:tc>
          <w:tcPr>
            <w:tcW w:type="dxa" w:w="1234"/>
          </w:tcPr>
          <w:p>
            <w:r>
              <w:rPr>
                <w:rFonts w:ascii="Calibri" w:hAnsi="Calibri"/>
                <w:sz w:val="22"/>
              </w:rPr>
              <w:t>PGIM Adjusted Operating Margin (%)</w:t>
            </w:r>
          </w:p>
        </w:tc>
        <w:tc>
          <w:tcPr>
            <w:tcW w:type="dxa" w:w="1234"/>
          </w:tcPr>
          <w:p>
            <w:r>
              <w:rPr>
                <w:rFonts w:ascii="Calibri" w:hAnsi="Calibri"/>
                <w:sz w:val="22"/>
              </w:rPr>
              <w:t>19.1%</w:t>
            </w:r>
          </w:p>
        </w:tc>
        <w:tc>
          <w:tcPr>
            <w:tcW w:type="dxa" w:w="1234"/>
          </w:tcPr>
          <w:p>
            <w:r>
              <w:rPr>
                <w:rFonts w:ascii="Calibri" w:hAnsi="Calibri"/>
                <w:sz w:val="22"/>
              </w:rPr>
              <w:t>23.5%</w:t>
            </w:r>
          </w:p>
        </w:tc>
        <w:tc>
          <w:tcPr>
            <w:tcW w:type="dxa" w:w="1234"/>
          </w:tcPr>
          <w:p>
            <w:r>
              <w:rPr>
                <w:rFonts w:ascii="Calibri" w:hAnsi="Calibri"/>
                <w:sz w:val="22"/>
              </w:rPr>
              <w:t>25.4%</w:t>
            </w:r>
          </w:p>
        </w:tc>
        <w:tc>
          <w:tcPr>
            <w:tcW w:type="dxa" w:w="1234"/>
          </w:tcPr>
          <w:p>
            <w:r>
              <w:rPr>
                <w:rFonts w:ascii="Calibri" w:hAnsi="Calibri"/>
                <w:sz w:val="22"/>
              </w:rPr>
              <w:t>+190 bps</w:t>
            </w:r>
          </w:p>
        </w:tc>
        <w:tc>
          <w:tcPr>
            <w:tcW w:type="dxa" w:w="1234"/>
          </w:tcPr>
          <w:p>
            <w:r>
              <w:rPr>
                <w:rFonts w:ascii="Calibri" w:hAnsi="Calibri"/>
                <w:sz w:val="22"/>
              </w:rPr>
              <w:t>25–30% long-term target; +200 bps expansion in 2026 guided</w:t>
            </w:r>
          </w:p>
        </w:tc>
        <w:tc>
          <w:tcPr>
            <w:tcW w:type="dxa" w:w="1234"/>
          </w:tcPr>
          <w:p>
            <w:r>
              <w:rPr>
                <w:rFonts w:ascii="Calibri" w:hAnsi="Calibri"/>
                <w:sz w:val="22"/>
              </w:rPr>
              <w:t>~+40 bps above low end of 2026 expansion target</w:t>
            </w:r>
          </w:p>
        </w:tc>
      </w:tr>
      <w:tr>
        <w:tc>
          <w:tcPr>
            <w:tcW w:type="dxa" w:w="1234"/>
          </w:tcPr>
          <w:p>
            <w:r>
              <w:rPr>
                <w:rFonts w:ascii="Calibri" w:hAnsi="Calibri"/>
                <w:sz w:val="22"/>
              </w:rPr>
              <w:t>Core Income After Tax ($B)</w:t>
            </w:r>
          </w:p>
        </w:tc>
        <w:tc>
          <w:tcPr>
            <w:tcW w:type="dxa" w:w="1234"/>
          </w:tcPr>
          <w:p>
            <w:r>
              <w:rPr>
                <w:rFonts w:ascii="Calibri" w:hAnsi="Calibri"/>
                <w:sz w:val="22"/>
              </w:rPr>
              <w:t>$1.311B</w:t>
            </w:r>
          </w:p>
        </w:tc>
        <w:tc>
          <w:tcPr>
            <w:tcW w:type="dxa" w:w="1234"/>
          </w:tcPr>
          <w:p>
            <w:r>
              <w:rPr>
                <w:rFonts w:ascii="Calibri" w:hAnsi="Calibri"/>
                <w:sz w:val="22"/>
              </w:rPr>
              <w:t>$1.200B</w:t>
            </w:r>
          </w:p>
        </w:tc>
        <w:tc>
          <w:tcPr>
            <w:tcW w:type="dxa" w:w="1234"/>
          </w:tcPr>
          <w:p>
            <w:r>
              <w:rPr>
                <w:rFonts w:ascii="Calibri" w:hAnsi="Calibri"/>
                <w:sz w:val="22"/>
              </w:rPr>
              <w:t>$1.202B</w:t>
            </w:r>
          </w:p>
        </w:tc>
        <w:tc>
          <w:tcPr>
            <w:tcW w:type="dxa" w:w="1234"/>
          </w:tcPr>
          <w:p>
            <w:r>
              <w:rPr>
                <w:rFonts w:ascii="Calibri" w:hAnsi="Calibri"/>
                <w:sz w:val="22"/>
              </w:rPr>
              <w:t>+0.2%</w:t>
            </w:r>
          </w:p>
        </w:tc>
        <w:tc>
          <w:tcPr>
            <w:tcW w:type="dxa" w:w="1234"/>
          </w:tcPr>
          <w:p>
            <w:r>
              <w:rPr>
                <w:rFonts w:ascii="Calibri" w:hAnsi="Calibri"/>
                <w:sz w:val="22"/>
              </w:rPr>
              <w:t>No explicit quarterly guidance</w:t>
            </w:r>
          </w:p>
        </w:tc>
        <w:tc>
          <w:tcPr>
            <w:tcW w:type="dxa" w:w="1234"/>
          </w:tcPr>
          <w:p>
            <w:r>
              <w:rPr>
                <w:rFonts w:ascii="Calibri" w:hAnsi="Calibri"/>
                <w:sz w:val="22"/>
              </w:rPr>
              <w:t>N/A</w:t>
            </w:r>
          </w:p>
        </w:tc>
      </w:tr>
    </w:tbl>
    <w:p>
      <w:r>
        <w:rPr>
          <w:rFonts w:ascii="Calibri" w:hAnsi="Calibri"/>
          <w:i/>
          <w:color w:val="525866"/>
          <w:sz w:val="22"/>
        </w:rPr>
        <w:t xml:space="preserve">Sources: </w:t>
      </w:r>
      <w:r>
        <w:rPr>
          <w:rFonts w:ascii="Calibri" w:hAnsi="Calibri"/>
          <w:i/>
          <w:color w:val="525866"/>
          <w:sz w:val="22"/>
        </w:rPr>
        <w:t>Visible Alpha Consensus and Actuals Data (Core EPS, PGIM AUM, PGIM Margin, Core Income After Tax); PRU July 15, 2026 8-K (PGIM AUM pre-announcement of $1.49T). Note: Q2 2026 PGIM AUM consensus of $1.484T is slightly below the July 15 pre-announced $1.49T, suggesting estimates have not fully caught up to the disclosed figure.</w:t>
      </w:r>
    </w:p>
    <w:p>
      <w:pPr>
        <w:pStyle w:val="Heading2"/>
      </w:pPr>
      <w:r>
        <w:rPr>
          <w:rFonts w:ascii="Calibri" w:hAnsi="Calibri"/>
          <w:b/>
          <w:color w:val="3B4259"/>
          <w:sz w:val="28"/>
        </w:rPr>
        <w:t>Table 2 — Beat / Miss History (Last 8 Quarters, Top 2 KPIs)</w:t>
      </w:r>
    </w:p>
    <w:p>
      <w:pPr>
        <w:pStyle w:val="Heading3"/>
      </w:pPr>
      <w:r>
        <w:rPr>
          <w:rFonts w:ascii="Calibri" w:hAnsi="Calibri"/>
          <w:b/>
          <w:color w:val="3B4259"/>
          <w:sz w:val="24"/>
        </w:rPr>
        <w:t>Core EPS — Diluted ($)</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Quarter</w:t>
            </w:r>
          </w:p>
        </w:tc>
        <w:tc>
          <w:tcPr>
            <w:tcW w:type="dxa" w:w="1728"/>
            <w:shd w:val="clear" w:color="auto" w:fill="3B4259"/>
          </w:tcPr>
          <w:p>
            <w:r>
              <w:rPr>
                <w:rFonts w:ascii="Calibri" w:hAnsi="Calibri"/>
                <w:b/>
                <w:color w:val="FFFFFF"/>
                <w:sz w:val="22"/>
              </w:rPr>
              <w:t>Reported</w:t>
            </w:r>
          </w:p>
        </w:tc>
        <w:tc>
          <w:tcPr>
            <w:tcW w:type="dxa" w:w="1728"/>
            <w:shd w:val="clear" w:color="auto" w:fill="3B4259"/>
          </w:tcPr>
          <w:p>
            <w:r>
              <w:rPr>
                <w:rFonts w:ascii="Calibri" w:hAnsi="Calibri"/>
                <w:b/>
                <w:color w:val="FFFFFF"/>
                <w:sz w:val="22"/>
              </w:rPr>
              <w:t>Consensus</w:t>
            </w:r>
          </w:p>
        </w:tc>
        <w:tc>
          <w:tcPr>
            <w:tcW w:type="dxa" w:w="1728"/>
            <w:shd w:val="clear" w:color="auto" w:fill="3B4259"/>
          </w:tcPr>
          <w:p>
            <w:r>
              <w:rPr>
                <w:rFonts w:ascii="Calibri" w:hAnsi="Calibri"/>
                <w:b/>
                <w:color w:val="FFFFFF"/>
                <w:sz w:val="22"/>
              </w:rPr>
              <w:t>Surprise %</w:t>
            </w:r>
          </w:p>
        </w:tc>
        <w:tc>
          <w:tcPr>
            <w:tcW w:type="dxa" w:w="1728"/>
            <w:shd w:val="clear" w:color="auto" w:fill="3B4259"/>
          </w:tcPr>
          <w:p>
            <w:r>
              <w:rPr>
                <w:rFonts w:ascii="Calibri" w:hAnsi="Calibri"/>
                <w:b/>
                <w:color w:val="FFFFFF"/>
                <w:sz w:val="22"/>
              </w:rPr>
              <w:t>Result</w:t>
            </w:r>
          </w:p>
        </w:tc>
      </w:tr>
      <w:tr>
        <w:tc>
          <w:tcPr>
            <w:tcW w:type="dxa" w:w="1728"/>
          </w:tcPr>
          <w:p>
            <w:r>
              <w:rPr>
                <w:rFonts w:ascii="Calibri" w:hAnsi="Calibri"/>
                <w:sz w:val="22"/>
              </w:rPr>
              <w:t>Q2 2024</w:t>
            </w:r>
          </w:p>
        </w:tc>
        <w:tc>
          <w:tcPr>
            <w:tcW w:type="dxa" w:w="1728"/>
          </w:tcPr>
          <w:p>
            <w:r>
              <w:rPr>
                <w:rFonts w:ascii="Calibri" w:hAnsi="Calibri"/>
                <w:sz w:val="22"/>
              </w:rPr>
              <w:t>$3.57</w:t>
            </w:r>
          </w:p>
        </w:tc>
        <w:tc>
          <w:tcPr>
            <w:tcW w:type="dxa" w:w="1728"/>
          </w:tcPr>
          <w:p>
            <w:r>
              <w:rPr>
                <w:rFonts w:ascii="Calibri" w:hAnsi="Calibri"/>
                <w:sz w:val="22"/>
              </w:rPr>
              <w:t>$3.45</w:t>
            </w:r>
          </w:p>
        </w:tc>
        <w:tc>
          <w:tcPr>
            <w:tcW w:type="dxa" w:w="1728"/>
          </w:tcPr>
          <w:p>
            <w:r>
              <w:rPr>
                <w:rFonts w:ascii="Calibri" w:hAnsi="Calibri"/>
                <w:sz w:val="22"/>
              </w:rPr>
              <w:t>+3.5%</w:t>
            </w:r>
          </w:p>
        </w:tc>
        <w:tc>
          <w:tcPr>
            <w:tcW w:type="dxa" w:w="1728"/>
          </w:tcPr>
          <w:p>
            <w:r>
              <w:rPr>
                <w:rFonts w:ascii="Calibri" w:hAnsi="Calibri"/>
                <w:b/>
                <w:color w:val="30A46C"/>
                <w:sz w:val="22"/>
              </w:rPr>
              <w:t>Beat</w:t>
            </w:r>
          </w:p>
        </w:tc>
      </w:tr>
      <w:tr>
        <w:tc>
          <w:tcPr>
            <w:tcW w:type="dxa" w:w="1728"/>
          </w:tcPr>
          <w:p>
            <w:r>
              <w:rPr>
                <w:rFonts w:ascii="Calibri" w:hAnsi="Calibri"/>
                <w:sz w:val="22"/>
              </w:rPr>
              <w:t>Q3 2024</w:t>
            </w:r>
          </w:p>
        </w:tc>
        <w:tc>
          <w:tcPr>
            <w:tcW w:type="dxa" w:w="1728"/>
          </w:tcPr>
          <w:p>
            <w:r>
              <w:rPr>
                <w:rFonts w:ascii="Calibri" w:hAnsi="Calibri"/>
                <w:sz w:val="22"/>
              </w:rPr>
              <w:t>$3.50</w:t>
            </w:r>
          </w:p>
        </w:tc>
        <w:tc>
          <w:tcPr>
            <w:tcW w:type="dxa" w:w="1728"/>
          </w:tcPr>
          <w:p>
            <w:r>
              <w:rPr>
                <w:rFonts w:ascii="Calibri" w:hAnsi="Calibri"/>
                <w:sz w:val="22"/>
              </w:rPr>
              <w:t>$3.64</w:t>
            </w:r>
          </w:p>
        </w:tc>
        <w:tc>
          <w:tcPr>
            <w:tcW w:type="dxa" w:w="1728"/>
          </w:tcPr>
          <w:p>
            <w:r>
              <w:rPr>
                <w:rFonts w:ascii="Calibri" w:hAnsi="Calibri"/>
                <w:sz w:val="22"/>
              </w:rPr>
              <w:t>−3.7%</w:t>
            </w:r>
          </w:p>
        </w:tc>
        <w:tc>
          <w:tcPr>
            <w:tcW w:type="dxa" w:w="1728"/>
          </w:tcPr>
          <w:p>
            <w:r>
              <w:rPr>
                <w:rFonts w:ascii="Calibri" w:hAnsi="Calibri"/>
                <w:b/>
                <w:color w:val="E5484D"/>
                <w:sz w:val="22"/>
              </w:rPr>
              <w:t>Miss</w:t>
            </w:r>
          </w:p>
        </w:tc>
      </w:tr>
      <w:tr>
        <w:tc>
          <w:tcPr>
            <w:tcW w:type="dxa" w:w="1728"/>
          </w:tcPr>
          <w:p>
            <w:r>
              <w:rPr>
                <w:rFonts w:ascii="Calibri" w:hAnsi="Calibri"/>
                <w:sz w:val="22"/>
              </w:rPr>
              <w:t>Q4 2024</w:t>
            </w:r>
          </w:p>
        </w:tc>
        <w:tc>
          <w:tcPr>
            <w:tcW w:type="dxa" w:w="1728"/>
          </w:tcPr>
          <w:p>
            <w:r>
              <w:rPr>
                <w:rFonts w:ascii="Calibri" w:hAnsi="Calibri"/>
                <w:sz w:val="22"/>
              </w:rPr>
              <w:t>$3.54</w:t>
            </w:r>
          </w:p>
        </w:tc>
        <w:tc>
          <w:tcPr>
            <w:tcW w:type="dxa" w:w="1728"/>
          </w:tcPr>
          <w:p>
            <w:r>
              <w:rPr>
                <w:rFonts w:ascii="Calibri" w:hAnsi="Calibri"/>
                <w:sz w:val="22"/>
              </w:rPr>
              <w:t>$3.61</w:t>
            </w:r>
          </w:p>
        </w:tc>
        <w:tc>
          <w:tcPr>
            <w:tcW w:type="dxa" w:w="1728"/>
          </w:tcPr>
          <w:p>
            <w:r>
              <w:rPr>
                <w:rFonts w:ascii="Calibri" w:hAnsi="Calibri"/>
                <w:sz w:val="22"/>
              </w:rPr>
              <w:t>−1.9%</w:t>
            </w:r>
          </w:p>
        </w:tc>
        <w:tc>
          <w:tcPr>
            <w:tcW w:type="dxa" w:w="1728"/>
          </w:tcPr>
          <w:p>
            <w:r>
              <w:rPr>
                <w:rFonts w:ascii="Calibri" w:hAnsi="Calibri"/>
                <w:b/>
                <w:color w:val="E5484D"/>
                <w:sz w:val="22"/>
              </w:rPr>
              <w:t>Miss</w:t>
            </w:r>
          </w:p>
        </w:tc>
      </w:tr>
      <w:tr>
        <w:tc>
          <w:tcPr>
            <w:tcW w:type="dxa" w:w="1728"/>
          </w:tcPr>
          <w:p>
            <w:r>
              <w:rPr>
                <w:rFonts w:ascii="Calibri" w:hAnsi="Calibri"/>
                <w:sz w:val="22"/>
              </w:rPr>
              <w:t>Q1 2025</w:t>
            </w:r>
          </w:p>
        </w:tc>
        <w:tc>
          <w:tcPr>
            <w:tcW w:type="dxa" w:w="1728"/>
          </w:tcPr>
          <w:p>
            <w:r>
              <w:rPr>
                <w:rFonts w:ascii="Calibri" w:hAnsi="Calibri"/>
                <w:sz w:val="22"/>
              </w:rPr>
              <w:t>$3.30</w:t>
            </w:r>
          </w:p>
        </w:tc>
        <w:tc>
          <w:tcPr>
            <w:tcW w:type="dxa" w:w="1728"/>
          </w:tcPr>
          <w:p>
            <w:r>
              <w:rPr>
                <w:rFonts w:ascii="Calibri" w:hAnsi="Calibri"/>
                <w:sz w:val="22"/>
              </w:rPr>
              <w:t>$3.41</w:t>
            </w:r>
          </w:p>
        </w:tc>
        <w:tc>
          <w:tcPr>
            <w:tcW w:type="dxa" w:w="1728"/>
          </w:tcPr>
          <w:p>
            <w:r>
              <w:rPr>
                <w:rFonts w:ascii="Calibri" w:hAnsi="Calibri"/>
                <w:sz w:val="22"/>
              </w:rPr>
              <w:t>−3.2%</w:t>
            </w:r>
          </w:p>
        </w:tc>
        <w:tc>
          <w:tcPr>
            <w:tcW w:type="dxa" w:w="1728"/>
          </w:tcPr>
          <w:p>
            <w:r>
              <w:rPr>
                <w:rFonts w:ascii="Calibri" w:hAnsi="Calibri"/>
                <w:b/>
                <w:color w:val="E5484D"/>
                <w:sz w:val="22"/>
              </w:rPr>
              <w:t>Miss</w:t>
            </w:r>
          </w:p>
        </w:tc>
      </w:tr>
      <w:tr>
        <w:tc>
          <w:tcPr>
            <w:tcW w:type="dxa" w:w="1728"/>
          </w:tcPr>
          <w:p>
            <w:r>
              <w:rPr>
                <w:rFonts w:ascii="Calibri" w:hAnsi="Calibri"/>
                <w:sz w:val="22"/>
              </w:rPr>
              <w:t>Q2 2025</w:t>
            </w:r>
          </w:p>
        </w:tc>
        <w:tc>
          <w:tcPr>
            <w:tcW w:type="dxa" w:w="1728"/>
          </w:tcPr>
          <w:p>
            <w:r>
              <w:rPr>
                <w:rFonts w:ascii="Calibri" w:hAnsi="Calibri"/>
                <w:sz w:val="22"/>
              </w:rPr>
              <w:t>$3.57</w:t>
            </w:r>
          </w:p>
        </w:tc>
        <w:tc>
          <w:tcPr>
            <w:tcW w:type="dxa" w:w="1728"/>
          </w:tcPr>
          <w:p>
            <w:r>
              <w:rPr>
                <w:rFonts w:ascii="Calibri" w:hAnsi="Calibri"/>
                <w:sz w:val="22"/>
              </w:rPr>
              <w:t>$3.45</w:t>
            </w:r>
          </w:p>
        </w:tc>
        <w:tc>
          <w:tcPr>
            <w:tcW w:type="dxa" w:w="1728"/>
          </w:tcPr>
          <w:p>
            <w:r>
              <w:rPr>
                <w:rFonts w:ascii="Calibri" w:hAnsi="Calibri"/>
                <w:sz w:val="22"/>
              </w:rPr>
              <w:t>+3.5%</w:t>
            </w:r>
          </w:p>
        </w:tc>
        <w:tc>
          <w:tcPr>
            <w:tcW w:type="dxa" w:w="1728"/>
          </w:tcPr>
          <w:p>
            <w:r>
              <w:rPr>
                <w:rFonts w:ascii="Calibri" w:hAnsi="Calibri"/>
                <w:b/>
                <w:color w:val="30A46C"/>
                <w:sz w:val="22"/>
              </w:rPr>
              <w:t>Beat</w:t>
            </w:r>
          </w:p>
        </w:tc>
      </w:tr>
      <w:tr>
        <w:tc>
          <w:tcPr>
            <w:tcW w:type="dxa" w:w="1728"/>
          </w:tcPr>
          <w:p>
            <w:r>
              <w:rPr>
                <w:rFonts w:ascii="Calibri" w:hAnsi="Calibri"/>
                <w:sz w:val="22"/>
              </w:rPr>
              <w:t>Q3 2025</w:t>
            </w:r>
          </w:p>
        </w:tc>
        <w:tc>
          <w:tcPr>
            <w:tcW w:type="dxa" w:w="1728"/>
          </w:tcPr>
          <w:p>
            <w:r>
              <w:rPr>
                <w:rFonts w:ascii="Calibri" w:hAnsi="Calibri"/>
                <w:sz w:val="22"/>
              </w:rPr>
              <w:t>$3.61</w:t>
            </w:r>
          </w:p>
        </w:tc>
        <w:tc>
          <w:tcPr>
            <w:tcW w:type="dxa" w:w="1728"/>
          </w:tcPr>
          <w:p>
            <w:r>
              <w:rPr>
                <w:rFonts w:ascii="Calibri" w:hAnsi="Calibri"/>
                <w:sz w:val="22"/>
              </w:rPr>
              <w:t>$3.44</w:t>
            </w:r>
          </w:p>
        </w:tc>
        <w:tc>
          <w:tcPr>
            <w:tcW w:type="dxa" w:w="1728"/>
          </w:tcPr>
          <w:p>
            <w:r>
              <w:rPr>
                <w:rFonts w:ascii="Calibri" w:hAnsi="Calibri"/>
                <w:sz w:val="22"/>
              </w:rPr>
              <w:t>+5.0%</w:t>
            </w:r>
          </w:p>
        </w:tc>
        <w:tc>
          <w:tcPr>
            <w:tcW w:type="dxa" w:w="1728"/>
          </w:tcPr>
          <w:p>
            <w:r>
              <w:rPr>
                <w:rFonts w:ascii="Calibri" w:hAnsi="Calibri"/>
                <w:b/>
                <w:color w:val="30A46C"/>
                <w:sz w:val="22"/>
              </w:rPr>
              <w:t>Beat</w:t>
            </w:r>
          </w:p>
        </w:tc>
      </w:tr>
      <w:tr>
        <w:tc>
          <w:tcPr>
            <w:tcW w:type="dxa" w:w="1728"/>
          </w:tcPr>
          <w:p>
            <w:r>
              <w:rPr>
                <w:rFonts w:ascii="Calibri" w:hAnsi="Calibri"/>
                <w:sz w:val="22"/>
              </w:rPr>
              <w:t>Q4 2025</w:t>
            </w:r>
          </w:p>
        </w:tc>
        <w:tc>
          <w:tcPr>
            <w:tcW w:type="dxa" w:w="1728"/>
          </w:tcPr>
          <w:p>
            <w:r>
              <w:rPr>
                <w:rFonts w:ascii="Calibri" w:hAnsi="Calibri"/>
                <w:sz w:val="22"/>
              </w:rPr>
              <w:t>$3.67</w:t>
            </w:r>
          </w:p>
        </w:tc>
        <w:tc>
          <w:tcPr>
            <w:tcW w:type="dxa" w:w="1728"/>
          </w:tcPr>
          <w:p>
            <w:r>
              <w:rPr>
                <w:rFonts w:ascii="Calibri" w:hAnsi="Calibri"/>
                <w:sz w:val="22"/>
              </w:rPr>
              <w:t>$3.52</w:t>
            </w:r>
          </w:p>
        </w:tc>
        <w:tc>
          <w:tcPr>
            <w:tcW w:type="dxa" w:w="1728"/>
          </w:tcPr>
          <w:p>
            <w:r>
              <w:rPr>
                <w:rFonts w:ascii="Calibri" w:hAnsi="Calibri"/>
                <w:sz w:val="22"/>
              </w:rPr>
              <w:t>+4.3%</w:t>
            </w:r>
          </w:p>
        </w:tc>
        <w:tc>
          <w:tcPr>
            <w:tcW w:type="dxa" w:w="1728"/>
          </w:tcPr>
          <w:p>
            <w:r>
              <w:rPr>
                <w:rFonts w:ascii="Calibri" w:hAnsi="Calibri"/>
                <w:b/>
                <w:color w:val="30A46C"/>
                <w:sz w:val="22"/>
              </w:rPr>
              <w:t>Beat</w:t>
            </w:r>
          </w:p>
        </w:tc>
      </w:tr>
      <w:tr>
        <w:tc>
          <w:tcPr>
            <w:tcW w:type="dxa" w:w="1728"/>
          </w:tcPr>
          <w:p>
            <w:r>
              <w:rPr>
                <w:rFonts w:ascii="Calibri" w:hAnsi="Calibri"/>
                <w:sz w:val="22"/>
              </w:rPr>
              <w:t>Q1 2026</w:t>
            </w:r>
          </w:p>
        </w:tc>
        <w:tc>
          <w:tcPr>
            <w:tcW w:type="dxa" w:w="1728"/>
          </w:tcPr>
          <w:p>
            <w:r>
              <w:rPr>
                <w:rFonts w:ascii="Calibri" w:hAnsi="Calibri"/>
                <w:sz w:val="22"/>
              </w:rPr>
              <w:t>$3.77</w:t>
            </w:r>
          </w:p>
        </w:tc>
        <w:tc>
          <w:tcPr>
            <w:tcW w:type="dxa" w:w="1728"/>
          </w:tcPr>
          <w:p>
            <w:r>
              <w:rPr>
                <w:rFonts w:ascii="Calibri" w:hAnsi="Calibri"/>
                <w:sz w:val="22"/>
              </w:rPr>
              <w:t>$3.35</w:t>
            </w:r>
          </w:p>
        </w:tc>
        <w:tc>
          <w:tcPr>
            <w:tcW w:type="dxa" w:w="1728"/>
          </w:tcPr>
          <w:p>
            <w:r>
              <w:rPr>
                <w:rFonts w:ascii="Calibri" w:hAnsi="Calibri"/>
                <w:sz w:val="22"/>
              </w:rPr>
              <w:t>+12.6%</w:t>
            </w:r>
          </w:p>
        </w:tc>
        <w:tc>
          <w:tcPr>
            <w:tcW w:type="dxa" w:w="1728"/>
          </w:tcPr>
          <w:p>
            <w:r>
              <w:rPr>
                <w:rFonts w:ascii="Calibri" w:hAnsi="Calibri"/>
                <w:b/>
                <w:color w:val="30A46C"/>
                <w:sz w:val="22"/>
              </w:rPr>
              <w:t>Beat</w:t>
            </w:r>
          </w:p>
        </w:tc>
      </w:tr>
    </w:tbl>
    <w:p>
      <w:pPr>
        <w:pStyle w:val="Heading3"/>
      </w:pPr>
      <w:r>
        <w:rPr>
          <w:rFonts w:ascii="Calibri" w:hAnsi="Calibri"/>
          <w:b/>
          <w:color w:val="3B4259"/>
          <w:sz w:val="24"/>
        </w:rPr>
        <w:t>PGIM Total AUM ($T)</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Quarter</w:t>
            </w:r>
          </w:p>
        </w:tc>
        <w:tc>
          <w:tcPr>
            <w:tcW w:type="dxa" w:w="1728"/>
            <w:shd w:val="clear" w:color="auto" w:fill="3B4259"/>
          </w:tcPr>
          <w:p>
            <w:r>
              <w:rPr>
                <w:rFonts w:ascii="Calibri" w:hAnsi="Calibri"/>
                <w:b/>
                <w:color w:val="FFFFFF"/>
                <w:sz w:val="22"/>
              </w:rPr>
              <w:t>Reported ($T)</w:t>
            </w:r>
          </w:p>
        </w:tc>
        <w:tc>
          <w:tcPr>
            <w:tcW w:type="dxa" w:w="1728"/>
            <w:shd w:val="clear" w:color="auto" w:fill="3B4259"/>
          </w:tcPr>
          <w:p>
            <w:r>
              <w:rPr>
                <w:rFonts w:ascii="Calibri" w:hAnsi="Calibri"/>
                <w:b/>
                <w:color w:val="FFFFFF"/>
                <w:sz w:val="22"/>
              </w:rPr>
              <w:t>Consensus ($T)</w:t>
            </w:r>
          </w:p>
        </w:tc>
        <w:tc>
          <w:tcPr>
            <w:tcW w:type="dxa" w:w="1728"/>
            <w:shd w:val="clear" w:color="auto" w:fill="3B4259"/>
          </w:tcPr>
          <w:p>
            <w:r>
              <w:rPr>
                <w:rFonts w:ascii="Calibri" w:hAnsi="Calibri"/>
                <w:b/>
                <w:color w:val="FFFFFF"/>
                <w:sz w:val="22"/>
              </w:rPr>
              <w:t>Surprise %</w:t>
            </w:r>
          </w:p>
        </w:tc>
        <w:tc>
          <w:tcPr>
            <w:tcW w:type="dxa" w:w="1728"/>
            <w:shd w:val="clear" w:color="auto" w:fill="3B4259"/>
          </w:tcPr>
          <w:p>
            <w:r>
              <w:rPr>
                <w:rFonts w:ascii="Calibri" w:hAnsi="Calibri"/>
                <w:b/>
                <w:color w:val="FFFFFF"/>
                <w:sz w:val="22"/>
              </w:rPr>
              <w:t>Result</w:t>
            </w:r>
          </w:p>
        </w:tc>
      </w:tr>
      <w:tr>
        <w:tc>
          <w:tcPr>
            <w:tcW w:type="dxa" w:w="1728"/>
          </w:tcPr>
          <w:p>
            <w:r>
              <w:rPr>
                <w:rFonts w:ascii="Calibri" w:hAnsi="Calibri"/>
                <w:sz w:val="22"/>
              </w:rPr>
              <w:t>Q2 2024</w:t>
            </w:r>
          </w:p>
        </w:tc>
        <w:tc>
          <w:tcPr>
            <w:tcW w:type="dxa" w:w="1728"/>
          </w:tcPr>
          <w:p>
            <w:r>
              <w:rPr>
                <w:rFonts w:ascii="Calibri" w:hAnsi="Calibri"/>
                <w:sz w:val="22"/>
              </w:rPr>
              <w:t>$1.441T</w:t>
            </w:r>
          </w:p>
        </w:tc>
        <w:tc>
          <w:tcPr>
            <w:tcW w:type="dxa" w:w="1728"/>
          </w:tcPr>
          <w:p>
            <w:r>
              <w:rPr>
                <w:rFonts w:ascii="Calibri" w:hAnsi="Calibri"/>
                <w:sz w:val="22"/>
              </w:rPr>
              <w:t>$1.435T</w:t>
            </w:r>
          </w:p>
        </w:tc>
        <w:tc>
          <w:tcPr>
            <w:tcW w:type="dxa" w:w="1728"/>
          </w:tcPr>
          <w:p>
            <w:r>
              <w:rPr>
                <w:rFonts w:ascii="Calibri" w:hAnsi="Calibri"/>
                <w:sz w:val="22"/>
              </w:rPr>
              <w:t>+0.4%</w:t>
            </w:r>
          </w:p>
        </w:tc>
        <w:tc>
          <w:tcPr>
            <w:tcW w:type="dxa" w:w="1728"/>
          </w:tcPr>
          <w:p>
            <w:r>
              <w:rPr>
                <w:rFonts w:ascii="Calibri" w:hAnsi="Calibri"/>
                <w:b/>
                <w:color w:val="30A46C"/>
                <w:sz w:val="22"/>
              </w:rPr>
              <w:t>Beat</w:t>
            </w:r>
          </w:p>
        </w:tc>
      </w:tr>
      <w:tr>
        <w:tc>
          <w:tcPr>
            <w:tcW w:type="dxa" w:w="1728"/>
          </w:tcPr>
          <w:p>
            <w:r>
              <w:rPr>
                <w:rFonts w:ascii="Calibri" w:hAnsi="Calibri"/>
                <w:sz w:val="22"/>
              </w:rPr>
              <w:t>Q3 2024</w:t>
            </w:r>
          </w:p>
        </w:tc>
        <w:tc>
          <w:tcPr>
            <w:tcW w:type="dxa" w:w="1728"/>
          </w:tcPr>
          <w:p>
            <w:r>
              <w:rPr>
                <w:rFonts w:ascii="Calibri" w:hAnsi="Calibri"/>
                <w:sz w:val="22"/>
              </w:rPr>
              <w:t>$1.400T</w:t>
            </w:r>
          </w:p>
        </w:tc>
        <w:tc>
          <w:tcPr>
            <w:tcW w:type="dxa" w:w="1728"/>
          </w:tcPr>
          <w:p>
            <w:r>
              <w:rPr>
                <w:rFonts w:ascii="Calibri" w:hAnsi="Calibri"/>
                <w:sz w:val="22"/>
              </w:rPr>
              <w:t>$1.368T</w:t>
            </w:r>
          </w:p>
        </w:tc>
        <w:tc>
          <w:tcPr>
            <w:tcW w:type="dxa" w:w="1728"/>
          </w:tcPr>
          <w:p>
            <w:r>
              <w:rPr>
                <w:rFonts w:ascii="Calibri" w:hAnsi="Calibri"/>
                <w:sz w:val="22"/>
              </w:rPr>
              <w:t>+2.3%</w:t>
            </w:r>
          </w:p>
        </w:tc>
        <w:tc>
          <w:tcPr>
            <w:tcW w:type="dxa" w:w="1728"/>
          </w:tcPr>
          <w:p>
            <w:r>
              <w:rPr>
                <w:rFonts w:ascii="Calibri" w:hAnsi="Calibri"/>
                <w:b/>
                <w:color w:val="30A46C"/>
                <w:sz w:val="22"/>
              </w:rPr>
              <w:t>Beat</w:t>
            </w:r>
          </w:p>
        </w:tc>
      </w:tr>
      <w:tr>
        <w:tc>
          <w:tcPr>
            <w:tcW w:type="dxa" w:w="1728"/>
          </w:tcPr>
          <w:p>
            <w:r>
              <w:rPr>
                <w:rFonts w:ascii="Calibri" w:hAnsi="Calibri"/>
                <w:sz w:val="22"/>
              </w:rPr>
              <w:t>Q4 2024</w:t>
            </w:r>
          </w:p>
        </w:tc>
        <w:tc>
          <w:tcPr>
            <w:tcW w:type="dxa" w:w="1728"/>
          </w:tcPr>
          <w:p>
            <w:r>
              <w:rPr>
                <w:rFonts w:ascii="Calibri" w:hAnsi="Calibri"/>
                <w:sz w:val="22"/>
              </w:rPr>
              <w:t>$1.375T</w:t>
            </w:r>
          </w:p>
        </w:tc>
        <w:tc>
          <w:tcPr>
            <w:tcW w:type="dxa" w:w="1728"/>
          </w:tcPr>
          <w:p>
            <w:r>
              <w:rPr>
                <w:rFonts w:ascii="Calibri" w:hAnsi="Calibri"/>
                <w:sz w:val="22"/>
              </w:rPr>
              <w:t>$1.387T</w:t>
            </w:r>
          </w:p>
        </w:tc>
        <w:tc>
          <w:tcPr>
            <w:tcW w:type="dxa" w:w="1728"/>
          </w:tcPr>
          <w:p>
            <w:r>
              <w:rPr>
                <w:rFonts w:ascii="Calibri" w:hAnsi="Calibri"/>
                <w:sz w:val="22"/>
              </w:rPr>
              <w:t>−0.9%</w:t>
            </w:r>
          </w:p>
        </w:tc>
        <w:tc>
          <w:tcPr>
            <w:tcW w:type="dxa" w:w="1728"/>
          </w:tcPr>
          <w:p>
            <w:r>
              <w:rPr>
                <w:rFonts w:ascii="Calibri" w:hAnsi="Calibri"/>
                <w:b/>
                <w:color w:val="E5484D"/>
                <w:sz w:val="22"/>
              </w:rPr>
              <w:t>Miss</w:t>
            </w:r>
          </w:p>
        </w:tc>
      </w:tr>
      <w:tr>
        <w:tc>
          <w:tcPr>
            <w:tcW w:type="dxa" w:w="1728"/>
          </w:tcPr>
          <w:p>
            <w:r>
              <w:rPr>
                <w:rFonts w:ascii="Calibri" w:hAnsi="Calibri"/>
                <w:sz w:val="22"/>
              </w:rPr>
              <w:t>Q1 2025</w:t>
            </w:r>
          </w:p>
        </w:tc>
        <w:tc>
          <w:tcPr>
            <w:tcW w:type="dxa" w:w="1728"/>
          </w:tcPr>
          <w:p>
            <w:r>
              <w:rPr>
                <w:rFonts w:ascii="Calibri" w:hAnsi="Calibri"/>
                <w:sz w:val="22"/>
              </w:rPr>
              <w:t>$1.385T</w:t>
            </w:r>
          </w:p>
        </w:tc>
        <w:tc>
          <w:tcPr>
            <w:tcW w:type="dxa" w:w="1728"/>
          </w:tcPr>
          <w:p>
            <w:r>
              <w:rPr>
                <w:rFonts w:ascii="Calibri" w:hAnsi="Calibri"/>
                <w:sz w:val="22"/>
              </w:rPr>
              <w:t>$1.386T</w:t>
            </w:r>
          </w:p>
        </w:tc>
        <w:tc>
          <w:tcPr>
            <w:tcW w:type="dxa" w:w="1728"/>
          </w:tcPr>
          <w:p>
            <w:r>
              <w:rPr>
                <w:rFonts w:ascii="Calibri" w:hAnsi="Calibri"/>
                <w:sz w:val="22"/>
              </w:rPr>
              <w:t>−0.1%</w:t>
            </w:r>
          </w:p>
        </w:tc>
        <w:tc>
          <w:tcPr>
            <w:tcW w:type="dxa" w:w="1728"/>
          </w:tcPr>
          <w:p>
            <w:r>
              <w:rPr>
                <w:rFonts w:ascii="Calibri" w:hAnsi="Calibri"/>
                <w:sz w:val="22"/>
              </w:rPr>
              <w:t>In Line</w:t>
            </w:r>
          </w:p>
        </w:tc>
      </w:tr>
      <w:tr>
        <w:tc>
          <w:tcPr>
            <w:tcW w:type="dxa" w:w="1728"/>
          </w:tcPr>
          <w:p>
            <w:r>
              <w:rPr>
                <w:rFonts w:ascii="Calibri" w:hAnsi="Calibri"/>
                <w:sz w:val="22"/>
              </w:rPr>
              <w:t>Q2 2025</w:t>
            </w:r>
          </w:p>
        </w:tc>
        <w:tc>
          <w:tcPr>
            <w:tcW w:type="dxa" w:w="1728"/>
          </w:tcPr>
          <w:p>
            <w:r>
              <w:rPr>
                <w:rFonts w:ascii="Calibri" w:hAnsi="Calibri"/>
                <w:sz w:val="22"/>
              </w:rPr>
              <w:t>$1.441T</w:t>
            </w:r>
          </w:p>
        </w:tc>
        <w:tc>
          <w:tcPr>
            <w:tcW w:type="dxa" w:w="1728"/>
          </w:tcPr>
          <w:p>
            <w:r>
              <w:rPr>
                <w:rFonts w:ascii="Calibri" w:hAnsi="Calibri"/>
                <w:sz w:val="22"/>
              </w:rPr>
              <w:t>$1.435T</w:t>
            </w:r>
          </w:p>
        </w:tc>
        <w:tc>
          <w:tcPr>
            <w:tcW w:type="dxa" w:w="1728"/>
          </w:tcPr>
          <w:p>
            <w:r>
              <w:rPr>
                <w:rFonts w:ascii="Calibri" w:hAnsi="Calibri"/>
                <w:sz w:val="22"/>
              </w:rPr>
              <w:t>+0.4%</w:t>
            </w:r>
          </w:p>
        </w:tc>
        <w:tc>
          <w:tcPr>
            <w:tcW w:type="dxa" w:w="1728"/>
          </w:tcPr>
          <w:p>
            <w:r>
              <w:rPr>
                <w:rFonts w:ascii="Calibri" w:hAnsi="Calibri"/>
                <w:b/>
                <w:color w:val="30A46C"/>
                <w:sz w:val="22"/>
              </w:rPr>
              <w:t>Beat</w:t>
            </w:r>
          </w:p>
        </w:tc>
      </w:tr>
      <w:tr>
        <w:tc>
          <w:tcPr>
            <w:tcW w:type="dxa" w:w="1728"/>
          </w:tcPr>
          <w:p>
            <w:r>
              <w:rPr>
                <w:rFonts w:ascii="Calibri" w:hAnsi="Calibri"/>
                <w:sz w:val="22"/>
              </w:rPr>
              <w:t>Q3 2025</w:t>
            </w:r>
          </w:p>
        </w:tc>
        <w:tc>
          <w:tcPr>
            <w:tcW w:type="dxa" w:w="1728"/>
          </w:tcPr>
          <w:p>
            <w:r>
              <w:rPr>
                <w:rFonts w:ascii="Calibri" w:hAnsi="Calibri"/>
                <w:sz w:val="22"/>
              </w:rPr>
              <w:t>$1.470T</w:t>
            </w:r>
          </w:p>
        </w:tc>
        <w:tc>
          <w:tcPr>
            <w:tcW w:type="dxa" w:w="1728"/>
          </w:tcPr>
          <w:p>
            <w:r>
              <w:rPr>
                <w:rFonts w:ascii="Calibri" w:hAnsi="Calibri"/>
                <w:sz w:val="22"/>
              </w:rPr>
              <w:t>$1.477T</w:t>
            </w:r>
          </w:p>
        </w:tc>
        <w:tc>
          <w:tcPr>
            <w:tcW w:type="dxa" w:w="1728"/>
          </w:tcPr>
          <w:p>
            <w:r>
              <w:rPr>
                <w:rFonts w:ascii="Calibri" w:hAnsi="Calibri"/>
                <w:sz w:val="22"/>
              </w:rPr>
              <w:t>−0.5%</w:t>
            </w:r>
          </w:p>
        </w:tc>
        <w:tc>
          <w:tcPr>
            <w:tcW w:type="dxa" w:w="1728"/>
          </w:tcPr>
          <w:p>
            <w:r>
              <w:rPr>
                <w:rFonts w:ascii="Calibri" w:hAnsi="Calibri"/>
                <w:b/>
                <w:color w:val="E5484D"/>
                <w:sz w:val="22"/>
              </w:rPr>
              <w:t>Miss</w:t>
            </w:r>
          </w:p>
        </w:tc>
      </w:tr>
      <w:tr>
        <w:tc>
          <w:tcPr>
            <w:tcW w:type="dxa" w:w="1728"/>
          </w:tcPr>
          <w:p>
            <w:r>
              <w:rPr>
                <w:rFonts w:ascii="Calibri" w:hAnsi="Calibri"/>
                <w:sz w:val="22"/>
              </w:rPr>
              <w:t>Q4 2025</w:t>
            </w:r>
          </w:p>
        </w:tc>
        <w:tc>
          <w:tcPr>
            <w:tcW w:type="dxa" w:w="1728"/>
          </w:tcPr>
          <w:p>
            <w:r>
              <w:rPr>
                <w:rFonts w:ascii="Calibri" w:hAnsi="Calibri"/>
                <w:sz w:val="22"/>
              </w:rPr>
              <w:t>$1.466T</w:t>
            </w:r>
          </w:p>
        </w:tc>
        <w:tc>
          <w:tcPr>
            <w:tcW w:type="dxa" w:w="1728"/>
          </w:tcPr>
          <w:p>
            <w:r>
              <w:rPr>
                <w:rFonts w:ascii="Calibri" w:hAnsi="Calibri"/>
                <w:sz w:val="22"/>
              </w:rPr>
              <w:t>$1.478T</w:t>
            </w:r>
          </w:p>
        </w:tc>
        <w:tc>
          <w:tcPr>
            <w:tcW w:type="dxa" w:w="1728"/>
          </w:tcPr>
          <w:p>
            <w:r>
              <w:rPr>
                <w:rFonts w:ascii="Calibri" w:hAnsi="Calibri"/>
                <w:sz w:val="22"/>
              </w:rPr>
              <w:t>−0.8%</w:t>
            </w:r>
          </w:p>
        </w:tc>
        <w:tc>
          <w:tcPr>
            <w:tcW w:type="dxa" w:w="1728"/>
          </w:tcPr>
          <w:p>
            <w:r>
              <w:rPr>
                <w:rFonts w:ascii="Calibri" w:hAnsi="Calibri"/>
                <w:b/>
                <w:color w:val="E5484D"/>
                <w:sz w:val="22"/>
              </w:rPr>
              <w:t>Miss</w:t>
            </w:r>
          </w:p>
        </w:tc>
      </w:tr>
      <w:tr>
        <w:tc>
          <w:tcPr>
            <w:tcW w:type="dxa" w:w="1728"/>
          </w:tcPr>
          <w:p>
            <w:r>
              <w:rPr>
                <w:rFonts w:ascii="Calibri" w:hAnsi="Calibri"/>
                <w:sz w:val="22"/>
              </w:rPr>
              <w:t>Q1 2026</w:t>
            </w:r>
          </w:p>
        </w:tc>
        <w:tc>
          <w:tcPr>
            <w:tcW w:type="dxa" w:w="1728"/>
          </w:tcPr>
          <w:p>
            <w:r>
              <w:rPr>
                <w:rFonts w:ascii="Calibri" w:hAnsi="Calibri"/>
                <w:sz w:val="22"/>
              </w:rPr>
              <w:t>$1.433T</w:t>
            </w:r>
          </w:p>
        </w:tc>
        <w:tc>
          <w:tcPr>
            <w:tcW w:type="dxa" w:w="1728"/>
          </w:tcPr>
          <w:p>
            <w:r>
              <w:rPr>
                <w:rFonts w:ascii="Calibri" w:hAnsi="Calibri"/>
                <w:sz w:val="22"/>
              </w:rPr>
              <w:t>$1.452T</w:t>
            </w:r>
          </w:p>
        </w:tc>
        <w:tc>
          <w:tcPr>
            <w:tcW w:type="dxa" w:w="1728"/>
          </w:tcPr>
          <w:p>
            <w:r>
              <w:rPr>
                <w:rFonts w:ascii="Calibri" w:hAnsi="Calibri"/>
                <w:sz w:val="22"/>
              </w:rPr>
              <w:t>−1.3%</w:t>
            </w:r>
          </w:p>
        </w:tc>
        <w:tc>
          <w:tcPr>
            <w:tcW w:type="dxa" w:w="1728"/>
          </w:tcPr>
          <w:p>
            <w:r>
              <w:rPr>
                <w:rFonts w:ascii="Calibri" w:hAnsi="Calibri"/>
                <w:b/>
                <w:color w:val="E5484D"/>
                <w:sz w:val="22"/>
              </w:rPr>
              <w:t>Miss</w:t>
            </w:r>
          </w:p>
        </w:tc>
      </w:tr>
    </w:tbl>
    <w:p>
      <w:r>
        <w:rPr>
          <w:rFonts w:ascii="Calibri" w:hAnsi="Calibri"/>
          <w:b/>
          <w:color w:val="525866"/>
          <w:sz w:val="22"/>
        </w:rPr>
        <w:t xml:space="preserve">Pattern: </w:t>
      </w:r>
      <w:r>
        <w:rPr>
          <w:rFonts w:ascii="Calibri" w:hAnsi="Calibri"/>
          <w:color w:val="525866"/>
          <w:sz w:val="22"/>
        </w:rPr>
        <w:t>PRU has beaten Core EPS in 5 of the last 8 quarters, with the most recent three quarters showing consistent beats and the Q1 2026 beat of +12.6% being the largest in the trailing 8-quarter window — driven by spread income strength and a lower-than-expected Japan drag. PGIM AUM has been more mixed, missing in 4 of 8 quarters, reflecting persistent active equity outflow headwinds; the July 15 pre-announcement of $1.49T AUM for Q2 2026 is above the current consensus of $1.484T, suggesting a modest AUM beat is already telegraphed.</w:t>
      </w:r>
    </w:p>
    <w:p>
      <w:r>
        <w:rPr>
          <w:rFonts w:ascii="Calibri" w:hAnsi="Calibri"/>
          <w:i/>
          <w:color w:val="525866"/>
          <w:sz w:val="22"/>
        </w:rPr>
        <w:t xml:space="preserve">Source: </w:t>
      </w:r>
      <w:r>
        <w:rPr>
          <w:rFonts w:ascii="Calibri" w:hAnsi="Calibri"/>
          <w:i/>
          <w:color w:val="525866"/>
          <w:sz w:val="22"/>
        </w:rPr>
        <w:t>Visible Alpha Consensus and Actuals Data.</w:t>
      </w:r>
    </w:p>
    <w:p>
      <w:r>
        <w:br w:type="page"/>
      </w:r>
    </w:p>
    <w:p>
      <w:pPr>
        <w:pStyle w:val="Heading1"/>
        <w:pBdr>
          <w:bottom w:val="single" w:sz="4" w:space="1" w:color="FB9120"/>
        </w:pBdr>
      </w:pPr>
      <w:r>
        <w:rPr>
          <w:rFonts w:ascii="Calibri" w:hAnsi="Calibri"/>
          <w:b/>
          <w:color w:val="3B4259"/>
          <w:sz w:val="40"/>
        </w:rPr>
        <w:t>3. Guidance &amp; Commentary Evolution</w:t>
      </w:r>
    </w:p>
    <w:p>
      <w:r>
        <w:rPr>
          <w:rFonts w:ascii="Calibri" w:hAnsi="Calibri"/>
          <w:b/>
          <w:color w:val="525866"/>
          <w:sz w:val="22"/>
        </w:rPr>
        <w:t xml:space="preserve">Key Takeaway: </w:t>
      </w:r>
      <w:r>
        <w:rPr>
          <w:rFonts w:ascii="Calibri" w:hAnsi="Calibri"/>
          <w:color w:val="525866"/>
          <w:sz w:val="22"/>
        </w:rPr>
        <w:t>Guidance has been materially updated twice since Q1 earnings — the July 15 8-K pre-announced a $20–$40M alt-income shortfall and a net ~$65M actuarial charge for Q2, while the July 24 8-K provided a Japan remediation progress update; the full-year Japan AOI impact range of $525–$575M remains unchanged, and management’s tone on capital and shareholder returns has been consistently reassuring.</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Metric</w:t>
            </w:r>
          </w:p>
        </w:tc>
        <w:tc>
          <w:tcPr>
            <w:tcW w:type="dxa" w:w="1728"/>
            <w:shd w:val="clear" w:color="auto" w:fill="3B4259"/>
          </w:tcPr>
          <w:p>
            <w:r>
              <w:rPr>
                <w:rFonts w:ascii="Calibri" w:hAnsi="Calibri"/>
                <w:b/>
                <w:color w:val="FFFFFF"/>
                <w:sz w:val="22"/>
              </w:rPr>
              <w:t>Initial Guidance (Q1 2026 Earnings Call, May 5–6)</w:t>
            </w:r>
          </w:p>
        </w:tc>
        <w:tc>
          <w:tcPr>
            <w:tcW w:type="dxa" w:w="1728"/>
            <w:shd w:val="clear" w:color="auto" w:fill="3B4259"/>
          </w:tcPr>
          <w:p>
            <w:r>
              <w:rPr>
                <w:rFonts w:ascii="Calibri" w:hAnsi="Calibri"/>
                <w:b/>
                <w:color w:val="FFFFFF"/>
                <w:sz w:val="22"/>
              </w:rPr>
              <w:t>Revised Guidance / Post-Earnings Update</w:t>
            </w:r>
          </w:p>
        </w:tc>
        <w:tc>
          <w:tcPr>
            <w:tcW w:type="dxa" w:w="1728"/>
            <w:shd w:val="clear" w:color="auto" w:fill="3B4259"/>
          </w:tcPr>
          <w:p>
            <w:r>
              <w:rPr>
                <w:rFonts w:ascii="Calibri" w:hAnsi="Calibri"/>
                <w:b/>
                <w:color w:val="FFFFFF"/>
                <w:sz w:val="22"/>
              </w:rPr>
              <w:t>Current Consensus</w:t>
            </w:r>
          </w:p>
        </w:tc>
        <w:tc>
          <w:tcPr>
            <w:tcW w:type="dxa" w:w="1728"/>
            <w:shd w:val="clear" w:color="auto" w:fill="3B4259"/>
          </w:tcPr>
          <w:p>
            <w:r>
              <w:rPr>
                <w:rFonts w:ascii="Calibri" w:hAnsi="Calibri"/>
                <w:b/>
                <w:color w:val="FFFFFF"/>
                <w:sz w:val="22"/>
              </w:rPr>
              <w:t>Note</w:t>
            </w:r>
          </w:p>
        </w:tc>
      </w:tr>
      <w:tr>
        <w:tc>
          <w:tcPr>
            <w:tcW w:type="dxa" w:w="1728"/>
          </w:tcPr>
          <w:p>
            <w:r>
              <w:rPr>
                <w:rFonts w:ascii="Calibri" w:hAnsi="Calibri"/>
                <w:sz w:val="22"/>
              </w:rPr>
              <w:t>FY2026 Japan AOI Impact (pretax)</w:t>
            </w:r>
          </w:p>
        </w:tc>
        <w:tc>
          <w:tcPr>
            <w:tcW w:type="dxa" w:w="1728"/>
          </w:tcPr>
          <w:p>
            <w:r>
              <w:rPr>
                <w:rFonts w:ascii="Calibri" w:hAnsi="Calibri"/>
                <w:sz w:val="22"/>
              </w:rPr>
              <w:t>$525M–$575M drag</w:t>
            </w:r>
          </w:p>
        </w:tc>
        <w:tc>
          <w:tcPr>
            <w:tcW w:type="dxa" w:w="1728"/>
          </w:tcPr>
          <w:p>
            <w:r>
              <w:rPr>
                <w:rFonts w:ascii="Calibri" w:hAnsi="Calibri"/>
                <w:sz w:val="22"/>
              </w:rPr>
              <w:t>Unchanged</w:t>
            </w:r>
          </w:p>
        </w:tc>
        <w:tc>
          <w:tcPr>
            <w:tcW w:type="dxa" w:w="1728"/>
          </w:tcPr>
          <w:p>
            <w:r>
              <w:rPr>
                <w:rFonts w:ascii="Calibri" w:hAnsi="Calibri"/>
                <w:sz w:val="22"/>
              </w:rPr>
              <w:t>N/A (not directly in VA)</w:t>
            </w:r>
          </w:p>
        </w:tc>
        <w:tc>
          <w:tcPr>
            <w:tcW w:type="dxa" w:w="1728"/>
          </w:tcPr>
          <w:p>
            <w:r>
              <w:rPr>
                <w:rFonts w:ascii="Calibri" w:hAnsi="Calibri"/>
                <w:sz w:val="22"/>
              </w:rPr>
              <w:t>Confirmed unchanged on Q1 call; non-linear, growing through year; no material capital/ESR impact</w:t>
            </w:r>
          </w:p>
        </w:tc>
      </w:tr>
      <w:tr>
        <w:tc>
          <w:tcPr>
            <w:tcW w:type="dxa" w:w="1728"/>
          </w:tcPr>
          <w:p>
            <w:r>
              <w:rPr>
                <w:rFonts w:ascii="Calibri" w:hAnsi="Calibri"/>
                <w:sz w:val="22"/>
              </w:rPr>
              <w:t>POJ Sales Suspension End Date</w:t>
            </w:r>
          </w:p>
        </w:tc>
        <w:tc>
          <w:tcPr>
            <w:tcW w:type="dxa" w:w="1728"/>
          </w:tcPr>
          <w:p>
            <w:r>
              <w:rPr>
                <w:rFonts w:ascii="Calibri" w:hAnsi="Calibri"/>
                <w:sz w:val="22"/>
              </w:rPr>
              <w:t>November 5, 2026 (extended from prior date, disclosed April 21)</w:t>
            </w:r>
          </w:p>
        </w:tc>
        <w:tc>
          <w:tcPr>
            <w:tcW w:type="dxa" w:w="1728"/>
          </w:tcPr>
          <w:p>
            <w:r>
              <w:rPr>
                <w:rFonts w:ascii="Calibri" w:hAnsi="Calibri"/>
                <w:sz w:val="22"/>
              </w:rPr>
              <w:t>Unchanged; July 24 8-K provided remediation progress update only</w:t>
            </w:r>
          </w:p>
        </w:tc>
        <w:tc>
          <w:tcPr>
            <w:tcW w:type="dxa" w:w="1728"/>
          </w:tcPr>
          <w:p>
            <w:r>
              <w:rPr>
                <w:rFonts w:ascii="Calibri" w:hAnsi="Calibri"/>
                <w:sz w:val="22"/>
              </w:rPr>
              <w:t>N/A</w:t>
            </w:r>
          </w:p>
        </w:tc>
        <w:tc>
          <w:tcPr>
            <w:tcW w:type="dxa" w:w="1728"/>
          </w:tcPr>
          <w:p>
            <w:r>
              <w:rPr>
                <w:rFonts w:ascii="Calibri" w:hAnsi="Calibri"/>
                <w:sz w:val="22"/>
              </w:rPr>
              <w:t>July 24, 2026 8-K: remediation update filed; no change to suspension end date or financial impact range</w:t>
            </w:r>
          </w:p>
        </w:tc>
      </w:tr>
      <w:tr>
        <w:tc>
          <w:tcPr>
            <w:tcW w:type="dxa" w:w="1728"/>
          </w:tcPr>
          <w:p>
            <w:r>
              <w:rPr>
                <w:rFonts w:ascii="Calibri" w:hAnsi="Calibri"/>
                <w:sz w:val="22"/>
              </w:rPr>
              <w:t>FY2026 Effective Tax Rate</w:t>
            </w:r>
          </w:p>
        </w:tc>
        <w:tc>
          <w:tcPr>
            <w:tcW w:type="dxa" w:w="1728"/>
          </w:tcPr>
          <w:p>
            <w:r>
              <w:rPr>
                <w:rFonts w:ascii="Calibri" w:hAnsi="Calibri"/>
                <w:sz w:val="22"/>
              </w:rPr>
              <w:t>Lowered to 21%–22% (from prior 23%–24%) on Q1 call</w:t>
            </w:r>
          </w:p>
        </w:tc>
        <w:tc>
          <w:tcPr>
            <w:tcW w:type="dxa" w:w="1728"/>
          </w:tcPr>
          <w:p>
            <w:r>
              <w:rPr>
                <w:rFonts w:ascii="Calibri" w:hAnsi="Calibri"/>
                <w:sz w:val="22"/>
              </w:rPr>
              <w:t>Unchanged post-Q1</w:t>
            </w:r>
          </w:p>
        </w:tc>
        <w:tc>
          <w:tcPr>
            <w:tcW w:type="dxa" w:w="1728"/>
          </w:tcPr>
          <w:p>
            <w:r>
              <w:rPr>
                <w:rFonts w:ascii="Calibri" w:hAnsi="Calibri"/>
                <w:sz w:val="22"/>
              </w:rPr>
              <w:t>N/A</w:t>
            </w:r>
          </w:p>
        </w:tc>
        <w:tc>
          <w:tcPr>
            <w:tcW w:type="dxa" w:w="1728"/>
          </w:tcPr>
          <w:p>
            <w:r>
              <w:rPr>
                <w:rFonts w:ascii="Calibri" w:hAnsi="Calibri"/>
                <w:sz w:val="22"/>
              </w:rPr>
              <w:t>↓ Lowered May 6, 2026 on Q1 earnings call; driven by lower Japan earnings and Japan portfolio asset allocation changes</w:t>
            </w:r>
          </w:p>
        </w:tc>
      </w:tr>
      <w:tr>
        <w:tc>
          <w:tcPr>
            <w:tcW w:type="dxa" w:w="1728"/>
          </w:tcPr>
          <w:p>
            <w:r>
              <w:rPr>
                <w:rFonts w:ascii="Calibri" w:hAnsi="Calibri"/>
                <w:sz w:val="22"/>
              </w:rPr>
              <w:t>PGIM Margin Expansion (FY2026)</w:t>
            </w:r>
          </w:p>
        </w:tc>
        <w:tc>
          <w:tcPr>
            <w:tcW w:type="dxa" w:w="1728"/>
          </w:tcPr>
          <w:p>
            <w:r>
              <w:rPr>
                <w:rFonts w:ascii="Calibri" w:hAnsi="Calibri"/>
                <w:sz w:val="22"/>
              </w:rPr>
              <w:t>&gt;200 bps expansion in 2026; target 25%–30% long-term</w:t>
            </w:r>
          </w:p>
        </w:tc>
        <w:tc>
          <w:tcPr>
            <w:tcW w:type="dxa" w:w="1728"/>
          </w:tcPr>
          <w:p>
            <w:r>
              <w:rPr>
                <w:rFonts w:ascii="Calibri" w:hAnsi="Calibri"/>
                <w:sz w:val="22"/>
              </w:rPr>
              <w:t>Unchanged</w:t>
            </w:r>
          </w:p>
        </w:tc>
        <w:tc>
          <w:tcPr>
            <w:tcW w:type="dxa" w:w="1728"/>
          </w:tcPr>
          <w:p>
            <w:r>
              <w:rPr>
                <w:rFonts w:ascii="Calibri" w:hAnsi="Calibri"/>
                <w:sz w:val="22"/>
              </w:rPr>
              <w:t>~23.4% FY2026 consensus</w:t>
            </w:r>
          </w:p>
        </w:tc>
        <w:tc>
          <w:tcPr>
            <w:tcW w:type="dxa" w:w="1728"/>
          </w:tcPr>
          <w:p>
            <w:r>
              <w:rPr>
                <w:rFonts w:ascii="Calibri" w:hAnsi="Calibri"/>
                <w:sz w:val="22"/>
              </w:rPr>
              <w:t>Q1 margin of 19.1% is seasonally lowest; Q2 consensus of 25.4% implies strong sequential recovery on track with guidance</w:t>
            </w:r>
          </w:p>
        </w:tc>
      </w:tr>
      <w:tr>
        <w:tc>
          <w:tcPr>
            <w:tcW w:type="dxa" w:w="1728"/>
          </w:tcPr>
          <w:p>
            <w:r>
              <w:rPr>
                <w:rFonts w:ascii="Calibri" w:hAnsi="Calibri"/>
                <w:sz w:val="22"/>
              </w:rPr>
              <w:t>Q2 2026 Alt Investment Income (GA Portfolio)</w:t>
            </w:r>
          </w:p>
        </w:tc>
        <w:tc>
          <w:tcPr>
            <w:tcW w:type="dxa" w:w="1728"/>
          </w:tcPr>
          <w:p>
            <w:r>
              <w:rPr>
                <w:rFonts w:ascii="Calibri" w:hAnsi="Calibri"/>
                <w:sz w:val="22"/>
              </w:rPr>
              <w:t>No specific Q2 guidance given on Q1 call</w:t>
            </w:r>
          </w:p>
        </w:tc>
        <w:tc>
          <w:tcPr>
            <w:tcW w:type="dxa" w:w="1728"/>
          </w:tcPr>
          <w:p>
            <w:r>
              <w:rPr>
                <w:rFonts w:ascii="Calibri" w:hAnsi="Calibri"/>
                <w:sz w:val="22"/>
              </w:rPr>
              <w:t>$20–$40M below near-term expectations (July 15, 2026 8-K)</w:t>
            </w:r>
          </w:p>
        </w:tc>
        <w:tc>
          <w:tcPr>
            <w:tcW w:type="dxa" w:w="1728"/>
          </w:tcPr>
          <w:p>
            <w:r>
              <w:rPr>
                <w:rFonts w:ascii="Calibri" w:hAnsi="Calibri"/>
                <w:sz w:val="22"/>
              </w:rPr>
              <w:t>Embedded in Q2 EPS consensus of $3.51</w:t>
            </w:r>
          </w:p>
        </w:tc>
        <w:tc>
          <w:tcPr>
            <w:tcW w:type="dxa" w:w="1728"/>
          </w:tcPr>
          <w:p>
            <w:r>
              <w:rPr>
                <w:rFonts w:ascii="Calibri" w:hAnsi="Calibri"/>
                <w:sz w:val="22"/>
              </w:rPr>
              <w:t>↓ Disclosed July 15, 2026 via 8-K; one-time; no ongoing impact to AOI guidance</w:t>
            </w:r>
          </w:p>
        </w:tc>
      </w:tr>
      <w:tr>
        <w:tc>
          <w:tcPr>
            <w:tcW w:type="dxa" w:w="1728"/>
          </w:tcPr>
          <w:p>
            <w:r>
              <w:rPr>
                <w:rFonts w:ascii="Calibri" w:hAnsi="Calibri"/>
                <w:sz w:val="22"/>
              </w:rPr>
              <w:t>Q2 2026 Actuarial Assumption Updates (net pretax AOI)</w:t>
            </w:r>
          </w:p>
        </w:tc>
        <w:tc>
          <w:tcPr>
            <w:tcW w:type="dxa" w:w="1728"/>
          </w:tcPr>
          <w:p>
            <w:r>
              <w:rPr>
                <w:rFonts w:ascii="Calibri" w:hAnsi="Calibri"/>
                <w:sz w:val="22"/>
              </w:rPr>
              <w:t>Annual review conducted in Q2 each year; no specific Q2 guidance</w:t>
            </w:r>
          </w:p>
        </w:tc>
        <w:tc>
          <w:tcPr>
            <w:tcW w:type="dxa" w:w="1728"/>
          </w:tcPr>
          <w:p>
            <w:r>
              <w:rPr>
                <w:rFonts w:ascii="Calibri" w:hAnsi="Calibri"/>
                <w:sz w:val="22"/>
              </w:rPr>
              <w:t>Net ~+$65M pretax: Retirement −$90M, International +$80M, Group Insurance +$30M, Individual Life +$30M, U.S. Legacy +$15M (July 15, 2026 8-K)</w:t>
            </w:r>
          </w:p>
        </w:tc>
        <w:tc>
          <w:tcPr>
            <w:tcW w:type="dxa" w:w="1728"/>
          </w:tcPr>
          <w:p>
            <w:r>
              <w:rPr>
                <w:rFonts w:ascii="Calibri" w:hAnsi="Calibri"/>
                <w:sz w:val="22"/>
              </w:rPr>
              <w:t>Embedded in Q2 consensus</w:t>
            </w:r>
          </w:p>
        </w:tc>
        <w:tc>
          <w:tcPr>
            <w:tcW w:type="dxa" w:w="1728"/>
          </w:tcPr>
          <w:p>
            <w:r>
              <w:rPr>
                <w:rFonts w:ascii="Calibri" w:hAnsi="Calibri"/>
                <w:sz w:val="22"/>
              </w:rPr>
              <w:t>Disclosed July 15, 2026; “no material ongoing impacts to AOI” expected from these updates</w:t>
            </w:r>
          </w:p>
        </w:tc>
      </w:tr>
      <w:tr>
        <w:tc>
          <w:tcPr>
            <w:tcW w:type="dxa" w:w="1728"/>
          </w:tcPr>
          <w:p>
            <w:r>
              <w:rPr>
                <w:rFonts w:ascii="Calibri" w:hAnsi="Calibri"/>
                <w:sz w:val="22"/>
              </w:rPr>
              <w:t>Corporate Segment AOI (FY2026)</w:t>
            </w:r>
          </w:p>
        </w:tc>
        <w:tc>
          <w:tcPr>
            <w:tcW w:type="dxa" w:w="1728"/>
          </w:tcPr>
          <w:p>
            <w:r>
              <w:rPr>
                <w:rFonts w:ascii="Calibri" w:hAnsi="Calibri"/>
                <w:sz w:val="22"/>
              </w:rPr>
              <w:t>$1.65B target; H1 lighter, H2 heavier</w:t>
            </w:r>
          </w:p>
        </w:tc>
        <w:tc>
          <w:tcPr>
            <w:tcW w:type="dxa" w:w="1728"/>
          </w:tcPr>
          <w:p>
            <w:r>
              <w:rPr>
                <w:rFonts w:ascii="Calibri" w:hAnsi="Calibri"/>
                <w:sz w:val="22"/>
              </w:rPr>
              <w:t>Unchanged</w:t>
            </w:r>
          </w:p>
        </w:tc>
        <w:tc>
          <w:tcPr>
            <w:tcW w:type="dxa" w:w="1728"/>
          </w:tcPr>
          <w:p>
            <w:r>
              <w:rPr>
                <w:rFonts w:ascii="Calibri" w:hAnsi="Calibri"/>
                <w:sz w:val="22"/>
              </w:rPr>
              <w:t>N/A</w:t>
            </w:r>
          </w:p>
        </w:tc>
        <w:tc>
          <w:tcPr>
            <w:tcW w:type="dxa" w:w="1728"/>
          </w:tcPr>
          <w:p>
            <w:r>
              <w:rPr>
                <w:rFonts w:ascii="Calibri" w:hAnsi="Calibri"/>
                <w:sz w:val="22"/>
              </w:rPr>
              <w:t>Confirmed on Q1 call; no post-Q1 update</w:t>
            </w:r>
          </w:p>
        </w:tc>
      </w:tr>
      <w:tr>
        <w:tc>
          <w:tcPr>
            <w:tcW w:type="dxa" w:w="1728"/>
          </w:tcPr>
          <w:p>
            <w:r>
              <w:rPr>
                <w:rFonts w:ascii="Calibri" w:hAnsi="Calibri"/>
                <w:sz w:val="22"/>
              </w:rPr>
              <w:t>Strategic Portfolio Update</w:t>
            </w:r>
          </w:p>
        </w:tc>
        <w:tc>
          <w:tcPr>
            <w:tcW w:type="dxa" w:w="1728"/>
          </w:tcPr>
          <w:p>
            <w:r>
              <w:rPr>
                <w:rFonts w:ascii="Calibri" w:hAnsi="Calibri"/>
                <w:sz w:val="22"/>
              </w:rPr>
              <w:t>Long-term vision and strategy to be detailed on Q2 August call</w:t>
            </w:r>
          </w:p>
        </w:tc>
        <w:tc>
          <w:tcPr>
            <w:tcW w:type="dxa" w:w="1728"/>
          </w:tcPr>
          <w:p>
            <w:r>
              <w:rPr>
                <w:rFonts w:ascii="Calibri" w:hAnsi="Calibri"/>
                <w:sz w:val="22"/>
              </w:rPr>
              <w:t>Unchanged; July 9 press release confirmed Q2 earnings &amp; strategy call on August 5</w:t>
            </w:r>
          </w:p>
        </w:tc>
        <w:tc>
          <w:tcPr>
            <w:tcW w:type="dxa" w:w="1728"/>
          </w:tcPr>
          <w:p>
            <w:r>
              <w:rPr>
                <w:rFonts w:ascii="Calibri" w:hAnsi="Calibri"/>
                <w:sz w:val="22"/>
              </w:rPr>
              <w:t>N/A</w:t>
            </w:r>
          </w:p>
        </w:tc>
        <w:tc>
          <w:tcPr>
            <w:tcW w:type="dxa" w:w="1728"/>
          </w:tcPr>
          <w:p>
            <w:r>
              <w:rPr>
                <w:rFonts w:ascii="Calibri" w:hAnsi="Calibri"/>
                <w:sz w:val="22"/>
              </w:rPr>
              <w:t>New: August 5 call explicitly branded as “Earnings and Strategy Call” — elevated significance vs. standard earnings call</w:t>
            </w:r>
          </w:p>
        </w:tc>
      </w:tr>
    </w:tbl>
    <w:p>
      <w:r>
        <w:br w:type="page"/>
      </w:r>
    </w:p>
    <w:p>
      <w:pPr>
        <w:pStyle w:val="Heading1"/>
        <w:pBdr>
          <w:bottom w:val="single" w:sz="4" w:space="1" w:color="FB9120"/>
        </w:pBdr>
      </w:pPr>
      <w:r>
        <w:rPr>
          <w:rFonts w:ascii="Calibri" w:hAnsi="Calibri"/>
          <w:b/>
          <w:color w:val="3B4259"/>
          <w:sz w:val="40"/>
        </w:rPr>
        <w:t>4. Guidance vs. Estimate Revision Tracker</w:t>
      </w:r>
    </w:p>
    <w:p>
      <w:r>
        <w:rPr>
          <w:rFonts w:ascii="Calibri" w:hAnsi="Calibri"/>
          <w:b/>
          <w:color w:val="525866"/>
          <w:sz w:val="22"/>
        </w:rPr>
        <w:t xml:space="preserve">Key Takeaway: </w:t>
      </w:r>
      <w:r>
        <w:rPr>
          <w:rFonts w:ascii="Calibri" w:hAnsi="Calibri"/>
          <w:color w:val="525866"/>
          <w:sz w:val="22"/>
        </w:rPr>
        <w:t>Q2 2026 Core EPS estimates have been volatile since Q1 earnings — initially spiking to $3.63 in mid-May before drifting to $3.42 in late June on Japan/macro concerns, then recovering to $3.51 by late July after the July 15 pre-announcement was absorbed; FY2026 estimates have similarly oscillated but are now roughly in line with the post-Q1 baseline, suggesting the Street has largely priced in known headwinds and the August strategic update is the next catalyst.</w:t>
      </w:r>
    </w:p>
    <w:tbl>
      <w:tblPr>
        <w:tblStyle w:val="TableGrid"/>
        <w:tblW w:type="auto" w:w="0"/>
        <w:tblLook w:firstColumn="1" w:firstRow="1" w:lastColumn="0" w:lastRow="0" w:noHBand="0" w:noVBand="1" w:val="04A0"/>
      </w:tblPr>
      <w:tblGrid>
        <w:gridCol w:w="1080"/>
        <w:gridCol w:w="1080"/>
        <w:gridCol w:w="1080"/>
        <w:gridCol w:w="1080"/>
        <w:gridCol w:w="1080"/>
        <w:gridCol w:w="1080"/>
        <w:gridCol w:w="1080"/>
        <w:gridCol w:w="1080"/>
      </w:tblGrid>
      <w:tr>
        <w:tc>
          <w:tcPr>
            <w:tcW w:type="dxa" w:w="1080"/>
            <w:shd w:val="clear" w:color="auto" w:fill="3B4259"/>
          </w:tcPr>
          <w:p>
            <w:r>
              <w:rPr>
                <w:rFonts w:ascii="Calibri" w:hAnsi="Calibri"/>
                <w:b/>
                <w:color w:val="FFFFFF"/>
                <w:sz w:val="22"/>
              </w:rPr>
              <w:t>KPI (Period)</w:t>
            </w:r>
          </w:p>
        </w:tc>
        <w:tc>
          <w:tcPr>
            <w:tcW w:type="dxa" w:w="1080"/>
            <w:shd w:val="clear" w:color="auto" w:fill="3B4259"/>
          </w:tcPr>
          <w:p>
            <w:r>
              <w:rPr>
                <w:rFonts w:ascii="Calibri" w:hAnsi="Calibri"/>
                <w:b/>
                <w:color w:val="FFFFFF"/>
                <w:sz w:val="22"/>
              </w:rPr>
              <w:t>Estimate ~5 Days Post Q1 Earnings (May 12, 2026)</w:t>
            </w:r>
          </w:p>
        </w:tc>
        <w:tc>
          <w:tcPr>
            <w:tcW w:type="dxa" w:w="1080"/>
            <w:shd w:val="clear" w:color="auto" w:fill="3B4259"/>
          </w:tcPr>
          <w:p>
            <w:r>
              <w:rPr>
                <w:rFonts w:ascii="Calibri" w:hAnsi="Calibri"/>
                <w:b/>
                <w:color w:val="FFFFFF"/>
                <w:sz w:val="22"/>
              </w:rPr>
              <w:t>Current Consensus (Aug 3, 2026)</w:t>
            </w:r>
          </w:p>
        </w:tc>
        <w:tc>
          <w:tcPr>
            <w:tcW w:type="dxa" w:w="1080"/>
            <w:shd w:val="clear" w:color="auto" w:fill="3B4259"/>
          </w:tcPr>
          <w:p>
            <w:r>
              <w:rPr>
                <w:rFonts w:ascii="Calibri" w:hAnsi="Calibri"/>
                <w:b/>
                <w:color w:val="FFFFFF"/>
                <w:sz w:val="22"/>
              </w:rPr>
              <w:t>Estimate Δ (%)</w:t>
            </w:r>
          </w:p>
        </w:tc>
        <w:tc>
          <w:tcPr>
            <w:tcW w:type="dxa" w:w="1080"/>
            <w:shd w:val="clear" w:color="auto" w:fill="3B4259"/>
          </w:tcPr>
          <w:p>
            <w:r>
              <w:rPr>
                <w:rFonts w:ascii="Calibri" w:hAnsi="Calibri"/>
                <w:b/>
                <w:color w:val="FFFFFF"/>
                <w:sz w:val="22"/>
              </w:rPr>
              <w:t>Initial Guidance (Q1 Call)</w:t>
            </w:r>
          </w:p>
        </w:tc>
        <w:tc>
          <w:tcPr>
            <w:tcW w:type="dxa" w:w="1080"/>
            <w:shd w:val="clear" w:color="auto" w:fill="3B4259"/>
          </w:tcPr>
          <w:p>
            <w:r>
              <w:rPr>
                <w:rFonts w:ascii="Calibri" w:hAnsi="Calibri"/>
                <w:b/>
                <w:color w:val="FFFFFF"/>
                <w:sz w:val="22"/>
              </w:rPr>
              <w:t>Current Guidance / Latest Update</w:t>
            </w:r>
          </w:p>
        </w:tc>
        <w:tc>
          <w:tcPr>
            <w:tcW w:type="dxa" w:w="1080"/>
            <w:shd w:val="clear" w:color="auto" w:fill="3B4259"/>
          </w:tcPr>
          <w:p>
            <w:r>
              <w:rPr>
                <w:rFonts w:ascii="Calibri" w:hAnsi="Calibri"/>
                <w:b/>
                <w:color w:val="FFFFFF"/>
                <w:sz w:val="22"/>
              </w:rPr>
              <w:t>Guidance Δ</w:t>
            </w:r>
          </w:p>
        </w:tc>
        <w:tc>
          <w:tcPr>
            <w:tcW w:type="dxa" w:w="1080"/>
            <w:shd w:val="clear" w:color="auto" w:fill="3B4259"/>
          </w:tcPr>
          <w:p>
            <w:r>
              <w:rPr>
                <w:rFonts w:ascii="Calibri" w:hAnsi="Calibri"/>
                <w:b/>
                <w:color w:val="FFFFFF"/>
                <w:sz w:val="22"/>
              </w:rPr>
              <w:t>Consensus vs. Guidance (%)</w:t>
            </w:r>
          </w:p>
        </w:tc>
      </w:tr>
      <w:tr>
        <w:tc>
          <w:tcPr>
            <w:tcW w:type="dxa" w:w="1080"/>
          </w:tcPr>
          <w:p>
            <w:r>
              <w:rPr>
                <w:rFonts w:ascii="Calibri" w:hAnsi="Calibri"/>
                <w:sz w:val="22"/>
              </w:rPr>
              <w:t>Core EPS — Diluted (Q2 2026)</w:t>
            </w:r>
          </w:p>
        </w:tc>
        <w:tc>
          <w:tcPr>
            <w:tcW w:type="dxa" w:w="1080"/>
          </w:tcPr>
          <w:p>
            <w:r>
              <w:rPr>
                <w:rFonts w:ascii="Calibri" w:hAnsi="Calibri"/>
                <w:sz w:val="22"/>
              </w:rPr>
              <w:t>$3.54</w:t>
            </w:r>
          </w:p>
        </w:tc>
        <w:tc>
          <w:tcPr>
            <w:tcW w:type="dxa" w:w="1080"/>
          </w:tcPr>
          <w:p>
            <w:r>
              <w:rPr>
                <w:rFonts w:ascii="Calibri" w:hAnsi="Calibri"/>
                <w:sz w:val="22"/>
              </w:rPr>
              <w:t>$3.51</w:t>
            </w:r>
          </w:p>
        </w:tc>
        <w:tc>
          <w:tcPr>
            <w:tcW w:type="dxa" w:w="1080"/>
          </w:tcPr>
          <w:p>
            <w:r>
              <w:rPr>
                <w:rFonts w:ascii="Calibri" w:hAnsi="Calibri"/>
                <w:sz w:val="22"/>
              </w:rPr>
              <w:t>−0.8%</w:t>
            </w:r>
          </w:p>
        </w:tc>
        <w:tc>
          <w:tcPr>
            <w:tcW w:type="dxa" w:w="1080"/>
          </w:tcPr>
          <w:p>
            <w:r>
              <w:rPr>
                <w:rFonts w:ascii="Calibri" w:hAnsi="Calibri"/>
                <w:sz w:val="22"/>
              </w:rPr>
              <w:t>No explicit Q2 EPS guide</w:t>
            </w:r>
          </w:p>
        </w:tc>
        <w:tc>
          <w:tcPr>
            <w:tcW w:type="dxa" w:w="1080"/>
          </w:tcPr>
          <w:p>
            <w:r>
              <w:rPr>
                <w:rFonts w:ascii="Calibri" w:hAnsi="Calibri"/>
                <w:sz w:val="22"/>
              </w:rPr>
              <w:t>July 15 8-K: alt-income $20–$40M below expectations; net actuarial +$65M pretax</w:t>
            </w:r>
          </w:p>
        </w:tc>
        <w:tc>
          <w:tcPr>
            <w:tcW w:type="dxa" w:w="1080"/>
          </w:tcPr>
          <w:p>
            <w:r>
              <w:rPr>
                <w:rFonts w:ascii="Calibri" w:hAnsi="Calibri"/>
                <w:sz w:val="22"/>
              </w:rPr>
              <w:t>N/A</w:t>
            </w:r>
          </w:p>
        </w:tc>
        <w:tc>
          <w:tcPr>
            <w:tcW w:type="dxa" w:w="1080"/>
          </w:tcPr>
          <w:p>
            <w:r>
              <w:rPr>
                <w:rFonts w:ascii="Calibri" w:hAnsi="Calibri"/>
                <w:sz w:val="22"/>
              </w:rPr>
              <w:t>N/A</w:t>
            </w:r>
          </w:p>
        </w:tc>
      </w:tr>
      <w:tr>
        <w:tc>
          <w:tcPr>
            <w:tcW w:type="dxa" w:w="1080"/>
          </w:tcPr>
          <w:p>
            <w:r>
              <w:rPr>
                <w:rFonts w:ascii="Calibri" w:hAnsi="Calibri"/>
                <w:sz w:val="22"/>
              </w:rPr>
              <w:t>Core EPS — Diluted (FY2026)</w:t>
            </w:r>
          </w:p>
        </w:tc>
        <w:tc>
          <w:tcPr>
            <w:tcW w:type="dxa" w:w="1080"/>
          </w:tcPr>
          <w:p>
            <w:r>
              <w:rPr>
                <w:rFonts w:ascii="Calibri" w:hAnsi="Calibri"/>
                <w:sz w:val="22"/>
              </w:rPr>
              <w:t>$13.56</w:t>
            </w:r>
          </w:p>
        </w:tc>
        <w:tc>
          <w:tcPr>
            <w:tcW w:type="dxa" w:w="1080"/>
          </w:tcPr>
          <w:p>
            <w:r>
              <w:rPr>
                <w:rFonts w:ascii="Calibri" w:hAnsi="Calibri"/>
                <w:sz w:val="22"/>
              </w:rPr>
              <w:t>$14.09</w:t>
            </w:r>
          </w:p>
        </w:tc>
        <w:tc>
          <w:tcPr>
            <w:tcW w:type="dxa" w:w="1080"/>
          </w:tcPr>
          <w:p>
            <w:r>
              <w:rPr>
                <w:rFonts w:ascii="Calibri" w:hAnsi="Calibri"/>
                <w:sz w:val="22"/>
              </w:rPr>
              <w:t>+3.9%</w:t>
            </w:r>
          </w:p>
        </w:tc>
        <w:tc>
          <w:tcPr>
            <w:tcW w:type="dxa" w:w="1080"/>
          </w:tcPr>
          <w:p>
            <w:r>
              <w:rPr>
                <w:rFonts w:ascii="Calibri" w:hAnsi="Calibri"/>
                <w:sz w:val="22"/>
              </w:rPr>
              <w:t>Implied by $525–$575M Japan AOI drag; tax rate 21%–22%</w:t>
            </w:r>
          </w:p>
        </w:tc>
        <w:tc>
          <w:tcPr>
            <w:tcW w:type="dxa" w:w="1080"/>
          </w:tcPr>
          <w:p>
            <w:r>
              <w:rPr>
                <w:rFonts w:ascii="Calibri" w:hAnsi="Calibri"/>
                <w:sz w:val="22"/>
              </w:rPr>
              <w:t>Unchanged; tax rate guidance lowered to 21%–22% on Q1 call</w:t>
            </w:r>
          </w:p>
        </w:tc>
        <w:tc>
          <w:tcPr>
            <w:tcW w:type="dxa" w:w="1080"/>
          </w:tcPr>
          <w:p>
            <w:r>
              <w:rPr>
                <w:rFonts w:ascii="Calibri" w:hAnsi="Calibri"/>
                <w:sz w:val="22"/>
              </w:rPr>
              <w:t>Tax rate ↓ (tailwind to EPS)</w:t>
            </w:r>
          </w:p>
        </w:tc>
        <w:tc>
          <w:tcPr>
            <w:tcW w:type="dxa" w:w="1080"/>
          </w:tcPr>
          <w:p>
            <w:r>
              <w:rPr>
                <w:rFonts w:ascii="Calibri" w:hAnsi="Calibri"/>
                <w:sz w:val="22"/>
              </w:rPr>
              <w:t>N/A (no explicit FY EPS guide)</w:t>
            </w:r>
          </w:p>
        </w:tc>
      </w:tr>
      <w:tr>
        <w:tc>
          <w:tcPr>
            <w:tcW w:type="dxa" w:w="1080"/>
          </w:tcPr>
          <w:p>
            <w:r>
              <w:rPr>
                <w:rFonts w:ascii="Calibri" w:hAnsi="Calibri"/>
                <w:sz w:val="22"/>
              </w:rPr>
              <w:t>PGIM Total AUM (Q2 2026)</w:t>
            </w:r>
          </w:p>
        </w:tc>
        <w:tc>
          <w:tcPr>
            <w:tcW w:type="dxa" w:w="1080"/>
          </w:tcPr>
          <w:p>
            <w:r>
              <w:rPr>
                <w:rFonts w:ascii="Calibri" w:hAnsi="Calibri"/>
                <w:sz w:val="22"/>
              </w:rPr>
              <w:t>$1.462T</w:t>
            </w:r>
          </w:p>
        </w:tc>
        <w:tc>
          <w:tcPr>
            <w:tcW w:type="dxa" w:w="1080"/>
          </w:tcPr>
          <w:p>
            <w:r>
              <w:rPr>
                <w:rFonts w:ascii="Calibri" w:hAnsi="Calibri"/>
                <w:sz w:val="22"/>
              </w:rPr>
              <w:t>$1.484T</w:t>
            </w:r>
          </w:p>
        </w:tc>
        <w:tc>
          <w:tcPr>
            <w:tcW w:type="dxa" w:w="1080"/>
          </w:tcPr>
          <w:p>
            <w:r>
              <w:rPr>
                <w:rFonts w:ascii="Calibri" w:hAnsi="Calibri"/>
                <w:sz w:val="22"/>
              </w:rPr>
              <w:t>+1.5%</w:t>
            </w:r>
          </w:p>
        </w:tc>
        <w:tc>
          <w:tcPr>
            <w:tcW w:type="dxa" w:w="1080"/>
          </w:tcPr>
          <w:p>
            <w:r>
              <w:rPr>
                <w:rFonts w:ascii="Calibri" w:hAnsi="Calibri"/>
                <w:sz w:val="22"/>
              </w:rPr>
              <w:t>No explicit AUM guide</w:t>
            </w:r>
          </w:p>
        </w:tc>
        <w:tc>
          <w:tcPr>
            <w:tcW w:type="dxa" w:w="1080"/>
          </w:tcPr>
          <w:p>
            <w:r>
              <w:rPr>
                <w:rFonts w:ascii="Calibri" w:hAnsi="Calibri"/>
                <w:sz w:val="22"/>
              </w:rPr>
              <w:t>July 15 8-K: pre-announced $1.49T as of June 30, 2026</w:t>
            </w:r>
          </w:p>
        </w:tc>
        <w:tc>
          <w:tcPr>
            <w:tcW w:type="dxa" w:w="1080"/>
          </w:tcPr>
          <w:p>
            <w:r>
              <w:rPr>
                <w:rFonts w:ascii="Calibri" w:hAnsi="Calibri"/>
                <w:sz w:val="22"/>
              </w:rPr>
              <w:t>N/A</w:t>
            </w:r>
          </w:p>
        </w:tc>
        <w:tc>
          <w:tcPr>
            <w:tcW w:type="dxa" w:w="1080"/>
          </w:tcPr>
          <w:p>
            <w:r>
              <w:rPr>
                <w:rFonts w:ascii="Calibri" w:hAnsi="Calibri"/>
                <w:sz w:val="22"/>
              </w:rPr>
              <w:t>−0.4% vs. pre-announced $1.49T</w:t>
            </w:r>
          </w:p>
        </w:tc>
      </w:tr>
      <w:tr>
        <w:tc>
          <w:tcPr>
            <w:tcW w:type="dxa" w:w="1080"/>
          </w:tcPr>
          <w:p>
            <w:r>
              <w:rPr>
                <w:rFonts w:ascii="Calibri" w:hAnsi="Calibri"/>
                <w:sz w:val="22"/>
              </w:rPr>
              <w:t>PGIM Total AUM (FY2026)</w:t>
            </w:r>
          </w:p>
        </w:tc>
        <w:tc>
          <w:tcPr>
            <w:tcW w:type="dxa" w:w="1080"/>
          </w:tcPr>
          <w:p>
            <w:r>
              <w:rPr>
                <w:rFonts w:ascii="Calibri" w:hAnsi="Calibri"/>
                <w:sz w:val="22"/>
              </w:rPr>
              <w:t>$1.493T</w:t>
            </w:r>
          </w:p>
        </w:tc>
        <w:tc>
          <w:tcPr>
            <w:tcW w:type="dxa" w:w="1080"/>
          </w:tcPr>
          <w:p>
            <w:r>
              <w:rPr>
                <w:rFonts w:ascii="Calibri" w:hAnsi="Calibri"/>
                <w:sz w:val="22"/>
              </w:rPr>
              <w:t>$1.514T</w:t>
            </w:r>
          </w:p>
        </w:tc>
        <w:tc>
          <w:tcPr>
            <w:tcW w:type="dxa" w:w="1080"/>
          </w:tcPr>
          <w:p>
            <w:r>
              <w:rPr>
                <w:rFonts w:ascii="Calibri" w:hAnsi="Calibri"/>
                <w:sz w:val="22"/>
              </w:rPr>
              <w:t>+1.4%</w:t>
            </w:r>
          </w:p>
        </w:tc>
        <w:tc>
          <w:tcPr>
            <w:tcW w:type="dxa" w:w="1080"/>
          </w:tcPr>
          <w:p>
            <w:r>
              <w:rPr>
                <w:rFonts w:ascii="Calibri" w:hAnsi="Calibri"/>
                <w:sz w:val="22"/>
              </w:rPr>
              <w:t>25%–30% margin target; &gt;200 bps expansion in 2026</w:t>
            </w:r>
          </w:p>
        </w:tc>
        <w:tc>
          <w:tcPr>
            <w:tcW w:type="dxa" w:w="1080"/>
          </w:tcPr>
          <w:p>
            <w:r>
              <w:rPr>
                <w:rFonts w:ascii="Calibri" w:hAnsi="Calibri"/>
                <w:sz w:val="22"/>
              </w:rPr>
              <w:t>Unchanged</w:t>
            </w:r>
          </w:p>
        </w:tc>
        <w:tc>
          <w:tcPr>
            <w:tcW w:type="dxa" w:w="1080"/>
          </w:tcPr>
          <w:p>
            <w:r>
              <w:rPr>
                <w:rFonts w:ascii="Calibri" w:hAnsi="Calibri"/>
                <w:sz w:val="22"/>
              </w:rPr>
              <w:t>Unchanged</w:t>
            </w:r>
          </w:p>
        </w:tc>
        <w:tc>
          <w:tcPr>
            <w:tcW w:type="dxa" w:w="1080"/>
          </w:tcPr>
          <w:p>
            <w:r>
              <w:rPr>
                <w:rFonts w:ascii="Calibri" w:hAnsi="Calibri"/>
                <w:sz w:val="22"/>
              </w:rPr>
              <w:t>N/A</w:t>
            </w:r>
          </w:p>
        </w:tc>
      </w:tr>
    </w:tbl>
    <w:p>
      <w:r>
        <w:rPr>
          <w:rFonts w:ascii="Calibri" w:hAnsi="Calibri"/>
          <w:color w:val="525866"/>
          <w:sz w:val="22"/>
        </w:rPr>
        <w:t xml:space="preserve">The revision trail tells an important story: FY2026 Core EPS estimates are actually </w:t>
      </w:r>
      <w:r>
        <w:rPr>
          <w:rFonts w:ascii="Calibri" w:hAnsi="Calibri"/>
          <w:b/>
          <w:color w:val="525866"/>
          <w:sz w:val="22"/>
        </w:rPr>
        <w:t>higher</w:t>
      </w:r>
      <w:r>
        <w:rPr>
          <w:rFonts w:ascii="Calibri" w:hAnsi="Calibri"/>
          <w:color w:val="525866"/>
          <w:sz w:val="22"/>
        </w:rPr>
        <w:t xml:space="preserve"> today ($14.09) than the post-Q1 baseline ($13.56), driven by the lower tax rate guidance (21–22% vs. prior 23–24%) and the Q1 beat flowing through. The Q2 estimate dip from $3.54 to $3.51 is modest and reflects the July 15 pre-announcement headwinds being absorbed. The key risk is that the Street’s FY2026 EPS recovery assumption may be too optimistic if the Japan sales ramp post-November 5 is slower than modeled.</w:t>
      </w:r>
    </w:p>
    <w:p>
      <w:r>
        <w:rPr>
          <w:rFonts w:ascii="Calibri" w:hAnsi="Calibri"/>
          <w:i/>
          <w:color w:val="525866"/>
          <w:sz w:val="22"/>
        </w:rPr>
        <w:t xml:space="preserve">Source: </w:t>
      </w:r>
      <w:r>
        <w:rPr>
          <w:rFonts w:ascii="Calibri" w:hAnsi="Calibri"/>
          <w:i/>
          <w:color w:val="525866"/>
          <w:sz w:val="22"/>
        </w:rPr>
        <w:t>Visible Alpha Consensus and Actuals Data (revision history and current consensus); PRU Q1 2026 Earnings Call transcript (May 6, 2026); PRU 8-K filed July 15, 2026.</w:t>
      </w:r>
    </w:p>
    <w:p>
      <w:r>
        <w:br w:type="page"/>
      </w:r>
    </w:p>
    <w:p>
      <w:pPr>
        <w:pStyle w:val="Heading1"/>
        <w:pBdr>
          <w:bottom w:val="single" w:sz="4" w:space="1" w:color="FB9120"/>
        </w:pBdr>
      </w:pPr>
      <w:r>
        <w:rPr>
          <w:rFonts w:ascii="Calibri" w:hAnsi="Calibri"/>
          <w:b/>
          <w:color w:val="3B4259"/>
          <w:sz w:val="40"/>
        </w:rPr>
        <w:t>5. Stock Performance</w:t>
      </w:r>
    </w:p>
    <w:p>
      <w:r>
        <w:rPr>
          <w:rFonts w:ascii="Calibri" w:hAnsi="Calibri"/>
          <w:b/>
          <w:color w:val="525866"/>
          <w:sz w:val="22"/>
        </w:rPr>
        <w:t xml:space="preserve">Key Takeaway: </w:t>
      </w:r>
      <w:r>
        <w:rPr>
          <w:rFonts w:ascii="Calibri" w:hAnsi="Calibri"/>
          <w:color w:val="525866"/>
          <w:sz w:val="22"/>
        </w:rPr>
        <w:t xml:space="preserve">PRU has dramatically outperformed both KIE (+14%) and the S&amp;P 500 (roughly flat) since Q1 earnings, with the +22% move driven almost entirely by </w:t>
      </w:r>
      <w:r>
        <w:rPr>
          <w:rFonts w:ascii="Calibri" w:hAnsi="Calibri"/>
          <w:b/>
          <w:color w:val="525866"/>
          <w:sz w:val="22"/>
        </w:rPr>
        <w:t>multiple expansion</w:t>
      </w:r>
      <w:r>
        <w:rPr>
          <w:rFonts w:ascii="Calibri" w:hAnsi="Calibri"/>
          <w:color w:val="525866"/>
          <w:sz w:val="22"/>
        </w:rPr>
        <w:t xml:space="preserve"> (NTM P/E re-rated from ~7.6x to ~8.5x) rather than upward estimate revisions — a setup that makes the August 5 strategic update the critical test of whether the re-rating is durable.</w:t>
      </w:r>
    </w:p>
    <w:p>
      <w:r>
        <w:rPr>
          <w:rFonts w:ascii="Calibri" w:hAnsi="Calibri"/>
          <w:color w:val="525866"/>
          <w:sz w:val="22"/>
        </w:rPr>
        <w:t>Since Q1 earnings (May 5, 2026), PRU has risen from ~$100.27 to ~$122.98 (as of August 4, 2026), a gain of approximately +22.7%. Over the same period, KIE (SPDR S&amp;P Insurance ETF) rose from $56.55 to $64.67 (+14.4%), and the S&amp;P 500 (SPY) moved from $723.77 to $757.67 (+4.7%). PRU’s outperformance of ~18 percentage points vs. the S&amp;P 500 and ~8 percentage points vs. KIE is notable. Key events during the period include: (1) the July 9 press release announcing the Q2 earnings and strategy call, which signaled an elevated strategic update; (2) the July 15 8-K pre-announcement of PGIM AUM at $1.49T and the actuarial/alt-income disclosures, which caused a brief pullback before the stock resumed its rally; and (3) the July 24 Japan remediation update, which was taken as a non-event by the market. The stock performance decomposition confirms that the 3-month gain of +24.7% was driven by P/E multiple expansion of +26.1% (NTM P/E from 6.70x to 8.45x), with EPS estimates actually a slight drag — meaning the market is pricing in a strategic re-rating, not an earnings acceleration.</w:t>
      </w:r>
    </w:p>
    <w:p>
      <w:r>
        <w:rPr>
          <w:rFonts w:ascii="Calibri" w:hAnsi="Calibri"/>
          <w:b/>
          <w:color w:val="525866"/>
          <w:sz w:val="22"/>
        </w:rPr>
        <w:t>Indexed Performance Since Q1 Earnings (May 5, 2026 = 100):</w:t>
      </w:r>
    </w:p>
    <w:tbl>
      <w:tblPr>
        <w:tblStyle w:val="TableGrid"/>
        <w:tblW w:type="auto" w:w="0"/>
        <w:tblLook w:firstColumn="1" w:firstRow="1" w:lastColumn="0" w:lastRow="0" w:noHBand="0" w:noVBand="1" w:val="04A0"/>
      </w:tblPr>
      <w:tblGrid>
        <w:gridCol w:w="2160"/>
        <w:gridCol w:w="2160"/>
        <w:gridCol w:w="2160"/>
        <w:gridCol w:w="2160"/>
      </w:tblGrid>
      <w:tr>
        <w:tc>
          <w:tcPr>
            <w:tcW w:type="dxa" w:w="2160"/>
            <w:shd w:val="clear" w:color="auto" w:fill="3B4259"/>
          </w:tcPr>
          <w:p>
            <w:r>
              <w:rPr>
                <w:rFonts w:ascii="Calibri" w:hAnsi="Calibri"/>
                <w:b/>
                <w:color w:val="FFFFFF"/>
                <w:sz w:val="22"/>
              </w:rPr>
              <w:t>Date</w:t>
            </w:r>
          </w:p>
        </w:tc>
        <w:tc>
          <w:tcPr>
            <w:tcW w:type="dxa" w:w="2160"/>
            <w:shd w:val="clear" w:color="auto" w:fill="3B4259"/>
          </w:tcPr>
          <w:p>
            <w:r>
              <w:rPr>
                <w:rFonts w:ascii="Calibri" w:hAnsi="Calibri"/>
                <w:b/>
                <w:color w:val="FFFFFF"/>
                <w:sz w:val="22"/>
              </w:rPr>
              <w:t>PRU (Indexed)</w:t>
            </w:r>
          </w:p>
        </w:tc>
        <w:tc>
          <w:tcPr>
            <w:tcW w:type="dxa" w:w="2160"/>
            <w:shd w:val="clear" w:color="auto" w:fill="3B4259"/>
          </w:tcPr>
          <w:p>
            <w:r>
              <w:rPr>
                <w:rFonts w:ascii="Calibri" w:hAnsi="Calibri"/>
                <w:b/>
                <w:color w:val="FFFFFF"/>
                <w:sz w:val="22"/>
              </w:rPr>
              <w:t>KIE (Indexed)</w:t>
            </w:r>
          </w:p>
        </w:tc>
        <w:tc>
          <w:tcPr>
            <w:tcW w:type="dxa" w:w="2160"/>
            <w:shd w:val="clear" w:color="auto" w:fill="3B4259"/>
          </w:tcPr>
          <w:p>
            <w:r>
              <w:rPr>
                <w:rFonts w:ascii="Calibri" w:hAnsi="Calibri"/>
                <w:b/>
                <w:color w:val="FFFFFF"/>
                <w:sz w:val="22"/>
              </w:rPr>
              <w:t>SPY (Indexed)</w:t>
            </w:r>
          </w:p>
        </w:tc>
      </w:tr>
      <w:tr>
        <w:tc>
          <w:tcPr>
            <w:tcW w:type="dxa" w:w="2160"/>
          </w:tcPr>
          <w:p>
            <w:r>
              <w:rPr>
                <w:rFonts w:ascii="Calibri" w:hAnsi="Calibri"/>
                <w:sz w:val="22"/>
              </w:rPr>
              <w:t>May 5, 2026 (Q1 Earnings)</w:t>
            </w:r>
          </w:p>
        </w:tc>
        <w:tc>
          <w:tcPr>
            <w:tcW w:type="dxa" w:w="2160"/>
          </w:tcPr>
          <w:p>
            <w:r>
              <w:rPr>
                <w:rFonts w:ascii="Calibri" w:hAnsi="Calibri"/>
                <w:sz w:val="22"/>
              </w:rPr>
              <w:t>100.0</w:t>
            </w:r>
          </w:p>
        </w:tc>
        <w:tc>
          <w:tcPr>
            <w:tcW w:type="dxa" w:w="2160"/>
          </w:tcPr>
          <w:p>
            <w:r>
              <w:rPr>
                <w:rFonts w:ascii="Calibri" w:hAnsi="Calibri"/>
                <w:sz w:val="22"/>
              </w:rPr>
              <w:t>100.0</w:t>
            </w:r>
          </w:p>
        </w:tc>
        <w:tc>
          <w:tcPr>
            <w:tcW w:type="dxa" w:w="2160"/>
          </w:tcPr>
          <w:p>
            <w:r>
              <w:rPr>
                <w:rFonts w:ascii="Calibri" w:hAnsi="Calibri"/>
                <w:sz w:val="22"/>
              </w:rPr>
              <w:t>100.0</w:t>
            </w:r>
          </w:p>
        </w:tc>
      </w:tr>
      <w:tr>
        <w:tc>
          <w:tcPr>
            <w:tcW w:type="dxa" w:w="2160"/>
          </w:tcPr>
          <w:p>
            <w:r>
              <w:rPr>
                <w:rFonts w:ascii="Calibri" w:hAnsi="Calibri"/>
                <w:sz w:val="22"/>
              </w:rPr>
              <w:t>May 22, 2026</w:t>
            </w:r>
          </w:p>
        </w:tc>
        <w:tc>
          <w:tcPr>
            <w:tcW w:type="dxa" w:w="2160"/>
          </w:tcPr>
          <w:p>
            <w:r>
              <w:rPr>
                <w:rFonts w:ascii="Calibri" w:hAnsi="Calibri"/>
                <w:sz w:val="22"/>
              </w:rPr>
              <w:t>103.8</w:t>
            </w:r>
          </w:p>
        </w:tc>
        <w:tc>
          <w:tcPr>
            <w:tcW w:type="dxa" w:w="2160"/>
          </w:tcPr>
          <w:p>
            <w:r>
              <w:rPr>
                <w:rFonts w:ascii="Calibri" w:hAnsi="Calibri"/>
                <w:sz w:val="22"/>
              </w:rPr>
              <w:t>101.9</w:t>
            </w:r>
          </w:p>
        </w:tc>
        <w:tc>
          <w:tcPr>
            <w:tcW w:type="dxa" w:w="2160"/>
          </w:tcPr>
          <w:p>
            <w:r>
              <w:rPr>
                <w:rFonts w:ascii="Calibri" w:hAnsi="Calibri"/>
                <w:sz w:val="22"/>
              </w:rPr>
              <w:t>103.0</w:t>
            </w:r>
          </w:p>
        </w:tc>
      </w:tr>
      <w:tr>
        <w:tc>
          <w:tcPr>
            <w:tcW w:type="dxa" w:w="2160"/>
          </w:tcPr>
          <w:p>
            <w:r>
              <w:rPr>
                <w:rFonts w:ascii="Calibri" w:hAnsi="Calibri"/>
                <w:sz w:val="22"/>
              </w:rPr>
              <w:t>Jun 12, 2026</w:t>
            </w:r>
          </w:p>
        </w:tc>
        <w:tc>
          <w:tcPr>
            <w:tcW w:type="dxa" w:w="2160"/>
          </w:tcPr>
          <w:p>
            <w:r>
              <w:rPr>
                <w:rFonts w:ascii="Calibri" w:hAnsi="Calibri"/>
                <w:sz w:val="22"/>
              </w:rPr>
              <w:t>108.2</w:t>
            </w:r>
          </w:p>
        </w:tc>
        <w:tc>
          <w:tcPr>
            <w:tcW w:type="dxa" w:w="2160"/>
          </w:tcPr>
          <w:p>
            <w:r>
              <w:rPr>
                <w:rFonts w:ascii="Calibri" w:hAnsi="Calibri"/>
                <w:sz w:val="22"/>
              </w:rPr>
              <w:t>103.3</w:t>
            </w:r>
          </w:p>
        </w:tc>
        <w:tc>
          <w:tcPr>
            <w:tcW w:type="dxa" w:w="2160"/>
          </w:tcPr>
          <w:p>
            <w:r>
              <w:rPr>
                <w:rFonts w:ascii="Calibri" w:hAnsi="Calibri"/>
                <w:sz w:val="22"/>
              </w:rPr>
              <w:t>102.5</w:t>
            </w:r>
          </w:p>
        </w:tc>
      </w:tr>
      <w:tr>
        <w:tc>
          <w:tcPr>
            <w:tcW w:type="dxa" w:w="2160"/>
          </w:tcPr>
          <w:p>
            <w:r>
              <w:rPr>
                <w:rFonts w:ascii="Calibri" w:hAnsi="Calibri"/>
                <w:sz w:val="22"/>
              </w:rPr>
              <w:t>Jun 30, 2026</w:t>
            </w:r>
          </w:p>
        </w:tc>
        <w:tc>
          <w:tcPr>
            <w:tcW w:type="dxa" w:w="2160"/>
          </w:tcPr>
          <w:p>
            <w:r>
              <w:rPr>
                <w:rFonts w:ascii="Calibri" w:hAnsi="Calibri"/>
                <w:sz w:val="22"/>
              </w:rPr>
              <w:t>107.6</w:t>
            </w:r>
          </w:p>
        </w:tc>
        <w:tc>
          <w:tcPr>
            <w:tcW w:type="dxa" w:w="2160"/>
          </w:tcPr>
          <w:p>
            <w:r>
              <w:rPr>
                <w:rFonts w:ascii="Calibri" w:hAnsi="Calibri"/>
                <w:sz w:val="22"/>
              </w:rPr>
              <w:t>107.8</w:t>
            </w:r>
          </w:p>
        </w:tc>
        <w:tc>
          <w:tcPr>
            <w:tcW w:type="dxa" w:w="2160"/>
          </w:tcPr>
          <w:p>
            <w:r>
              <w:rPr>
                <w:rFonts w:ascii="Calibri" w:hAnsi="Calibri"/>
                <w:sz w:val="22"/>
              </w:rPr>
              <w:t>103.2</w:t>
            </w:r>
          </w:p>
        </w:tc>
      </w:tr>
      <w:tr>
        <w:tc>
          <w:tcPr>
            <w:tcW w:type="dxa" w:w="2160"/>
          </w:tcPr>
          <w:p>
            <w:r>
              <w:rPr>
                <w:rFonts w:ascii="Calibri" w:hAnsi="Calibri"/>
                <w:sz w:val="22"/>
              </w:rPr>
              <w:t>Jul 15, 2026 (8-K Pre-Announcement)</w:t>
            </w:r>
          </w:p>
        </w:tc>
        <w:tc>
          <w:tcPr>
            <w:tcW w:type="dxa" w:w="2160"/>
          </w:tcPr>
          <w:p>
            <w:r>
              <w:rPr>
                <w:rFonts w:ascii="Calibri" w:hAnsi="Calibri"/>
                <w:sz w:val="22"/>
              </w:rPr>
              <w:t>114.7</w:t>
            </w:r>
          </w:p>
        </w:tc>
        <w:tc>
          <w:tcPr>
            <w:tcW w:type="dxa" w:w="2160"/>
          </w:tcPr>
          <w:p>
            <w:r>
              <w:rPr>
                <w:rFonts w:ascii="Calibri" w:hAnsi="Calibri"/>
                <w:sz w:val="22"/>
              </w:rPr>
              <w:t>109.9</w:t>
            </w:r>
          </w:p>
        </w:tc>
        <w:tc>
          <w:tcPr>
            <w:tcW w:type="dxa" w:w="2160"/>
          </w:tcPr>
          <w:p>
            <w:r>
              <w:rPr>
                <w:rFonts w:ascii="Calibri" w:hAnsi="Calibri"/>
                <w:sz w:val="22"/>
              </w:rPr>
              <w:t>104.3</w:t>
            </w:r>
          </w:p>
        </w:tc>
      </w:tr>
      <w:tr>
        <w:tc>
          <w:tcPr>
            <w:tcW w:type="dxa" w:w="2160"/>
          </w:tcPr>
          <w:p>
            <w:r>
              <w:rPr>
                <w:rFonts w:ascii="Calibri" w:hAnsi="Calibri"/>
                <w:sz w:val="22"/>
              </w:rPr>
              <w:t>Jul 28, 2026</w:t>
            </w:r>
          </w:p>
        </w:tc>
        <w:tc>
          <w:tcPr>
            <w:tcW w:type="dxa" w:w="2160"/>
          </w:tcPr>
          <w:p>
            <w:r>
              <w:rPr>
                <w:rFonts w:ascii="Calibri" w:hAnsi="Calibri"/>
                <w:sz w:val="22"/>
              </w:rPr>
              <w:t>123.6</w:t>
            </w:r>
          </w:p>
        </w:tc>
        <w:tc>
          <w:tcPr>
            <w:tcW w:type="dxa" w:w="2160"/>
          </w:tcPr>
          <w:p>
            <w:r>
              <w:rPr>
                <w:rFonts w:ascii="Calibri" w:hAnsi="Calibri"/>
                <w:sz w:val="22"/>
              </w:rPr>
              <w:t>117.5</w:t>
            </w:r>
          </w:p>
        </w:tc>
        <w:tc>
          <w:tcPr>
            <w:tcW w:type="dxa" w:w="2160"/>
          </w:tcPr>
          <w:p>
            <w:r>
              <w:rPr>
                <w:rFonts w:ascii="Calibri" w:hAnsi="Calibri"/>
                <w:sz w:val="22"/>
              </w:rPr>
              <w:t>102.4</w:t>
            </w:r>
          </w:p>
        </w:tc>
      </w:tr>
      <w:tr>
        <w:tc>
          <w:tcPr>
            <w:tcW w:type="dxa" w:w="2160"/>
          </w:tcPr>
          <w:p>
            <w:r>
              <w:rPr>
                <w:rFonts w:ascii="Calibri" w:hAnsi="Calibri"/>
                <w:sz w:val="22"/>
              </w:rPr>
              <w:t>Aug 4, 2026 (Latest)</w:t>
            </w:r>
          </w:p>
        </w:tc>
        <w:tc>
          <w:tcPr>
            <w:tcW w:type="dxa" w:w="2160"/>
          </w:tcPr>
          <w:p>
            <w:r>
              <w:rPr>
                <w:rFonts w:ascii="Calibri" w:hAnsi="Calibri"/>
                <w:sz w:val="22"/>
              </w:rPr>
              <w:t>122.7</w:t>
            </w:r>
          </w:p>
        </w:tc>
        <w:tc>
          <w:tcPr>
            <w:tcW w:type="dxa" w:w="2160"/>
          </w:tcPr>
          <w:p>
            <w:r>
              <w:rPr>
                <w:rFonts w:ascii="Calibri" w:hAnsi="Calibri"/>
                <w:sz w:val="22"/>
              </w:rPr>
              <w:t>114.4</w:t>
            </w:r>
          </w:p>
        </w:tc>
        <w:tc>
          <w:tcPr>
            <w:tcW w:type="dxa" w:w="2160"/>
          </w:tcPr>
          <w:p>
            <w:r>
              <w:rPr>
                <w:rFonts w:ascii="Calibri" w:hAnsi="Calibri"/>
                <w:sz w:val="22"/>
              </w:rPr>
              <w:t>104.7</w:t>
            </w:r>
          </w:p>
        </w:tc>
      </w:tr>
    </w:tbl>
    <w:p>
      <w:r>
        <w:rPr>
          <w:rFonts w:ascii="Calibri" w:hAnsi="Calibri"/>
          <w:i/>
          <w:color w:val="525866"/>
          <w:sz w:val="22"/>
        </w:rPr>
        <w:t xml:space="preserve">Note: </w:t>
      </w:r>
      <w:r>
        <w:rPr>
          <w:rFonts w:ascii="Calibri" w:hAnsi="Calibri"/>
          <w:i/>
          <w:color w:val="525866"/>
          <w:sz w:val="22"/>
        </w:rPr>
        <w:t>Indexed values calculated from raw closing prices (PRU, KIE, SPY) with May 5, 2026 = 100. KIE (SPDR S&amp;P Insurance ETF) is the appropriate sub-sector benchmark for PRU given its insurance-centric business mix. Current NTM P/E of 8.45x remains at a discount to historical averages and most large-cap life insurance peers, suggesting the re-rating has room to run if the strategic update is credible.</w:t>
      </w:r>
    </w:p>
    <w:p>
      <w:r>
        <w:rPr>
          <w:rFonts w:ascii="Calibri" w:hAnsi="Calibri"/>
          <w:i/>
          <w:color w:val="525866"/>
          <w:sz w:val="22"/>
        </w:rPr>
        <w:t xml:space="preserve">Source: </w:t>
      </w:r>
      <w:r>
        <w:rPr>
          <w:rFonts w:ascii="Calibri" w:hAnsi="Calibri"/>
          <w:i/>
          <w:color w:val="525866"/>
          <w:sz w:val="22"/>
        </w:rPr>
        <w:t>Stock Price Data (Yahoo Finance); Stock Performance Decomposition (NTM multiples).</w:t>
      </w:r>
    </w:p>
    <w:p>
      <w:r>
        <w:br w:type="page"/>
      </w:r>
    </w:p>
    <w:p>
      <w:pPr>
        <w:pStyle w:val="Heading1"/>
        <w:pBdr>
          <w:bottom w:val="single" w:sz="4" w:space="1" w:color="FB9120"/>
        </w:pBdr>
      </w:pPr>
      <w:r>
        <w:rPr>
          <w:rFonts w:ascii="Calibri" w:hAnsi="Calibri"/>
          <w:b/>
          <w:color w:val="3B4259"/>
          <w:sz w:val="40"/>
        </w:rPr>
        <w:t>6. Material News &amp; Developments</w:t>
      </w:r>
    </w:p>
    <w:p>
      <w:r>
        <w:rPr>
          <w:rFonts w:ascii="Calibri" w:hAnsi="Calibri"/>
          <w:b/>
          <w:color w:val="525866"/>
          <w:sz w:val="22"/>
        </w:rPr>
        <w:t xml:space="preserve">Key Takeaway: </w:t>
      </w:r>
      <w:r>
        <w:rPr>
          <w:rFonts w:ascii="Calibri" w:hAnsi="Calibri"/>
          <w:color w:val="525866"/>
          <w:sz w:val="22"/>
        </w:rPr>
        <w:t>The July 15 8-K pre-announcement (alt-income shortfall + actuarial charges) and the August 5 “Earnings and Strategy Call” designation are the two most consequential post-Q1 developments — the former has been absorbed by the market, while the latter is the primary catalyst for the stock’s re-rating and the key event risk heading into the print.</w:t>
      </w:r>
    </w:p>
    <w:p>
      <w:pPr>
        <w:pStyle w:val="ListBullet"/>
        <w:ind w:left="360" w:hanging="360"/>
      </w:pPr>
      <w:r>
        <w:rPr>
          <w:rFonts w:ascii="Calibri" w:hAnsi="Calibri"/>
          <w:b/>
          <w:color w:val="525866"/>
          <w:sz w:val="22"/>
        </w:rPr>
        <w:t xml:space="preserve">August 5, 2026 — Q2 Earnings &amp; Strategy Call Scheduled (July 9 Press Release): </w:t>
      </w:r>
      <w:r>
        <w:rPr>
          <w:rFonts w:ascii="Calibri" w:hAnsi="Calibri"/>
          <w:color w:val="525866"/>
          <w:sz w:val="22"/>
        </w:rPr>
        <w:t xml:space="preserve">PRU explicitly branded the Q2 earnings call as an “Earnings and Strategy Call,” signaling a comprehensive long-term vision update. Management teased this on the Q1 call (“We will share more details on Prudential’s long-term vision and strategy on our second quarter call in August”). </w:t>
      </w:r>
      <w:r>
        <w:rPr>
          <w:rFonts w:ascii="Calibri" w:hAnsi="Calibri"/>
          <w:i/>
          <w:color w:val="525866"/>
          <w:sz w:val="22"/>
        </w:rPr>
        <w:t xml:space="preserve">Implication: </w:t>
      </w:r>
      <w:r>
        <w:rPr>
          <w:rFonts w:ascii="Calibri" w:hAnsi="Calibri"/>
          <w:color w:val="525866"/>
          <w:sz w:val="22"/>
        </w:rPr>
        <w:t>This is the single most important event risk — the market has already re-rated the stock +22% in anticipation; specificity on portfolio exits, capital redeployment, and PGIM margin targets will determine whether the move is sustained.</w:t>
      </w:r>
    </w:p>
    <w:p>
      <w:pPr>
        <w:pStyle w:val="ListBullet"/>
        <w:ind w:left="360" w:hanging="360"/>
      </w:pPr>
      <w:r>
        <w:rPr>
          <w:rFonts w:ascii="Calibri" w:hAnsi="Calibri"/>
          <w:b/>
          <w:color w:val="525866"/>
          <w:sz w:val="22"/>
        </w:rPr>
        <w:t xml:space="preserve">July 15, 2026 — Q2 Preliminary Financial Information &amp; Actuarial Update (8-K): </w:t>
      </w:r>
      <w:r>
        <w:rPr>
          <w:rFonts w:ascii="Calibri" w:hAnsi="Calibri"/>
          <w:color w:val="525866"/>
          <w:sz w:val="22"/>
        </w:rPr>
        <w:t xml:space="preserve">PRU disclosed: (1) PGIM AUM of $1.49T as of June 30, 2026; (2) PGIM other related revenues of ~$60M in Q2 (includes incentive fees, transaction fees, seed/co-investment revenues); (3) General Account alternative investment income $20–$40M below near-term expectations; (4) Annual actuarial assumption updates with net pretax AOI impact of approximately +$65M (Retirement −$90M, International +$80M, Group Insurance +$30M, Individual Life +$30M, U.S. Legacy +$15M). Management stated: “We do not expect any material ongoing impacts to AOI as a result of these updates.” </w:t>
      </w:r>
      <w:r>
        <w:rPr>
          <w:rFonts w:ascii="Calibri" w:hAnsi="Calibri"/>
          <w:i/>
          <w:color w:val="525866"/>
          <w:sz w:val="22"/>
        </w:rPr>
        <w:t xml:space="preserve">Implication: </w:t>
      </w:r>
      <w:r>
        <w:rPr>
          <w:rFonts w:ascii="Calibri" w:hAnsi="Calibri"/>
          <w:color w:val="525866"/>
          <w:sz w:val="22"/>
        </w:rPr>
        <w:t>One-time items largely known; PGIM AUM above consensus is a modest positive; alt-income miss is a headwind but not a structural concern.</w:t>
      </w:r>
    </w:p>
    <w:p>
      <w:pPr>
        <w:pStyle w:val="ListBullet"/>
        <w:ind w:left="360" w:hanging="360"/>
      </w:pPr>
      <w:r>
        <w:rPr>
          <w:rFonts w:ascii="Calibri" w:hAnsi="Calibri"/>
          <w:b/>
          <w:color w:val="525866"/>
          <w:sz w:val="22"/>
        </w:rPr>
        <w:t xml:space="preserve">July 24, 2026 — Japan Remediation Progress Update (8-K): </w:t>
      </w:r>
      <w:r>
        <w:rPr>
          <w:rFonts w:ascii="Calibri" w:hAnsi="Calibri"/>
          <w:color w:val="525866"/>
          <w:sz w:val="22"/>
        </w:rPr>
        <w:t xml:space="preserve">Prudential Holdings of Japan, Prudential of Japan, and Gibraltar Life issued a press release in Japan reporting an update on remediation of previously disclosed employee misconduct. The English translation was furnished to the SEC. No change to the November 5, 2026 suspension end date or the $525–$575M FY2026 AOI impact range was indicated. </w:t>
      </w:r>
      <w:r>
        <w:rPr>
          <w:rFonts w:ascii="Calibri" w:hAnsi="Calibri"/>
          <w:i/>
          <w:color w:val="525866"/>
          <w:sz w:val="22"/>
        </w:rPr>
        <w:t xml:space="preserve">Implication: </w:t>
      </w:r>
      <w:r>
        <w:rPr>
          <w:rFonts w:ascii="Calibri" w:hAnsi="Calibri"/>
          <w:color w:val="525866"/>
          <w:sz w:val="22"/>
        </w:rPr>
        <w:t>Market treated this as a non-event; confirms remediation is progressing but provides no new financial guidance.</w:t>
      </w:r>
    </w:p>
    <w:p>
      <w:pPr>
        <w:pStyle w:val="ListBullet"/>
        <w:ind w:left="360" w:hanging="360"/>
      </w:pPr>
      <w:r>
        <w:rPr>
          <w:rFonts w:ascii="Calibri" w:hAnsi="Calibri"/>
          <w:b/>
          <w:color w:val="525866"/>
          <w:sz w:val="22"/>
        </w:rPr>
        <w:t xml:space="preserve">April 21, 2026 — POJ Sales Suspension Extended Through November 5, 2026 (8-K / Press Release): </w:t>
      </w:r>
      <w:r>
        <w:rPr>
          <w:rFonts w:ascii="Calibri" w:hAnsi="Calibri"/>
          <w:color w:val="525866"/>
          <w:sz w:val="22"/>
        </w:rPr>
        <w:t xml:space="preserve">Prudential of Japan voluntarily extended its sales suspension by an additional 180 days through November 5, 2026, to allow time for operational, governance, and organizational changes. This was the key negative catalyst pre-Q1 earnings. </w:t>
      </w:r>
      <w:r>
        <w:rPr>
          <w:rFonts w:ascii="Calibri" w:hAnsi="Calibri"/>
          <w:i/>
          <w:color w:val="525866"/>
          <w:sz w:val="22"/>
        </w:rPr>
        <w:t xml:space="preserve">Implication: </w:t>
      </w:r>
      <w:r>
        <w:rPr>
          <w:rFonts w:ascii="Calibri" w:hAnsi="Calibri"/>
          <w:color w:val="525866"/>
          <w:sz w:val="22"/>
        </w:rPr>
        <w:t>Already fully reflected in guidance and estimates; the key question is whether the November 5 date holds and what the sales ramp trajectory looks like post-resumption.</w:t>
      </w:r>
    </w:p>
    <w:p>
      <w:pPr>
        <w:pStyle w:val="ListBullet"/>
        <w:ind w:left="360" w:hanging="360"/>
      </w:pPr>
      <w:r>
        <w:rPr>
          <w:rFonts w:ascii="Calibri" w:hAnsi="Calibri"/>
          <w:b/>
          <w:color w:val="525866"/>
          <w:sz w:val="22"/>
        </w:rPr>
        <w:t xml:space="preserve">Q1 2026 (May 5–6) — Tax Rate Guidance Lowered to 21–22% (Q1 Earnings Call): </w:t>
      </w:r>
      <w:r>
        <w:rPr>
          <w:rFonts w:ascii="Calibri" w:hAnsi="Calibri"/>
          <w:color w:val="525866"/>
          <w:sz w:val="22"/>
        </w:rPr>
        <w:t xml:space="preserve">Management revised FY2026 effective tax rate guidance from 23–24% to 21–22%, driven by lower expected Japan earnings and asset allocation changes in the Japan portfolio to optimize after-tax investment return. </w:t>
      </w:r>
      <w:r>
        <w:rPr>
          <w:rFonts w:ascii="Calibri" w:hAnsi="Calibri"/>
          <w:i/>
          <w:color w:val="525866"/>
          <w:sz w:val="22"/>
        </w:rPr>
        <w:t xml:space="preserve">Implication: </w:t>
      </w:r>
      <w:r>
        <w:rPr>
          <w:rFonts w:ascii="Calibri" w:hAnsi="Calibri"/>
          <w:color w:val="525866"/>
          <w:sz w:val="22"/>
        </w:rPr>
        <w:t>A meaningful EPS tailwind that partially offsets the Japan AOI drag; contributed to the FY2026 EPS estimate revision higher post-Q1.</w:t>
      </w:r>
    </w:p>
    <w:p>
      <w:pPr>
        <w:pStyle w:val="ListBullet"/>
        <w:ind w:left="360" w:hanging="360"/>
      </w:pPr>
      <w:r>
        <w:rPr>
          <w:rFonts w:ascii="Calibri" w:hAnsi="Calibri"/>
          <w:b/>
          <w:color w:val="525866"/>
          <w:sz w:val="22"/>
        </w:rPr>
        <w:t xml:space="preserve">Q1 2026 — Prismic Third-Party Reinsurance Expansion: </w:t>
      </w:r>
      <w:r>
        <w:rPr>
          <w:rFonts w:ascii="Calibri" w:hAnsi="Calibri"/>
          <w:color w:val="525866"/>
          <w:sz w:val="22"/>
        </w:rPr>
        <w:t xml:space="preserve">Prismic (PRU’s Bermuda reinsurance entity) completed its first third-party transaction, reinsuring yen-denominated in-force whole life and annuity policies from Daiichi. PRU also executed a second flow reinsurance transaction covering U.S. dollar-denominated Japan liabilities. </w:t>
      </w:r>
      <w:r>
        <w:rPr>
          <w:rFonts w:ascii="Calibri" w:hAnsi="Calibri"/>
          <w:i/>
          <w:color w:val="525866"/>
          <w:sz w:val="22"/>
        </w:rPr>
        <w:t xml:space="preserve">Implication: </w:t>
      </w:r>
      <w:r>
        <w:rPr>
          <w:rFonts w:ascii="Calibri" w:hAnsi="Calibri"/>
          <w:color w:val="525866"/>
          <w:sz w:val="22"/>
        </w:rPr>
        <w:t>Prismic is evolving from an affiliated balance sheet tool to a third-party reinsurance platform — a potential source of fee income and capital efficiency that could be highlighted in the August strategic update.</w:t>
      </w:r>
    </w:p>
    <w:p>
      <w:pPr>
        <w:pStyle w:val="ListBullet"/>
        <w:ind w:left="360" w:hanging="360"/>
      </w:pPr>
      <w:r>
        <w:rPr>
          <w:rFonts w:ascii="Calibri" w:hAnsi="Calibri"/>
          <w:b/>
          <w:color w:val="525866"/>
          <w:sz w:val="22"/>
        </w:rPr>
        <w:t xml:space="preserve">Q1 2026 — U.S. Legacy Products New Reporting Segment Established: </w:t>
      </w:r>
      <w:r>
        <w:rPr>
          <w:rFonts w:ascii="Calibri" w:hAnsi="Calibri"/>
          <w:color w:val="525866"/>
          <w:sz w:val="22"/>
        </w:rPr>
        <w:t xml:space="preserve">PRU established a new U.S. Legacy Products reporting segment in Q1 2026, separating runoff variable annuity and GUL businesses from core operations for improved transparency. </w:t>
      </w:r>
      <w:r>
        <w:rPr>
          <w:rFonts w:ascii="Calibri" w:hAnsi="Calibri"/>
          <w:i/>
          <w:color w:val="525866"/>
          <w:sz w:val="22"/>
        </w:rPr>
        <w:t xml:space="preserve">Implication: </w:t>
      </w:r>
      <w:r>
        <w:rPr>
          <w:rFonts w:ascii="Calibri" w:hAnsi="Calibri"/>
          <w:color w:val="525866"/>
          <w:sz w:val="22"/>
        </w:rPr>
        <w:t>Signals management’s intent to highlight the quality of the core franchise vs. the runoff drag; consistent with the portfolio simplification narrative.</w:t>
      </w:r>
    </w:p>
    <w:p>
      <w:r>
        <w:br w:type="page"/>
      </w:r>
    </w:p>
    <w:p>
      <w:pPr>
        <w:pStyle w:val="Heading1"/>
        <w:pBdr>
          <w:bottom w:val="single" w:sz="4" w:space="1" w:color="FB9120"/>
        </w:pBdr>
      </w:pPr>
      <w:r>
        <w:rPr>
          <w:rFonts w:ascii="Calibri" w:hAnsi="Calibri"/>
          <w:b/>
          <w:color w:val="3B4259"/>
          <w:sz w:val="40"/>
        </w:rPr>
        <w:t>7. Peer Commentary &amp; Current-Quarter Read-Throughs</w:t>
      </w:r>
    </w:p>
    <w:p>
      <w:r>
        <w:rPr>
          <w:rFonts w:ascii="Calibri" w:hAnsi="Calibri"/>
          <w:b/>
          <w:color w:val="525866"/>
          <w:sz w:val="22"/>
        </w:rPr>
        <w:t xml:space="preserve">Key Takeaway: </w:t>
      </w:r>
      <w:r>
        <w:rPr>
          <w:rFonts w:ascii="Calibri" w:hAnsi="Calibri"/>
          <w:color w:val="525866"/>
          <w:sz w:val="22"/>
        </w:rPr>
        <w:t>LNC (reported July 30) and PFG (reported July 27) both delivered Q2 2026 results with read-through implications for PRU — LNC’s favorable mortality and disability normalization commentary is relevant to PRU’s Group Insurance and Individual Life segments, while PFG’s active equity outflow headwinds and fixed income strength are a direct read-through for PGIM’s flow dynamics; both peers’ strong capital positions and shareholder return execution are constructive for the sector.</w:t>
      </w:r>
    </w:p>
    <w:p>
      <w:r>
        <w:rPr>
          <w:rFonts w:ascii="Calibri" w:hAnsi="Calibri"/>
          <w:b/>
          <w:i/>
          <w:color w:val="525866"/>
          <w:sz w:val="22"/>
        </w:rPr>
        <w:t xml:space="preserve">Important Note on Scope: </w:t>
      </w:r>
      <w:r>
        <w:rPr>
          <w:rFonts w:ascii="Calibri" w:hAnsi="Calibri"/>
          <w:i/>
          <w:color w:val="525866"/>
          <w:sz w:val="22"/>
        </w:rPr>
        <w:t>All commentary below is sourced exclusively from Q2 2026 earnings calls and releases (LNC July 30, 2026; PFG July 27–28, 2026) — these are contemporaneous Q2 results and forward-looking statements about Q3/FY2026. No Q1 2025 or prior-period peer commentary is included.</w:t>
      </w:r>
    </w:p>
    <w:p>
      <w:pPr>
        <w:pStyle w:val="Heading2"/>
      </w:pPr>
      <w:r>
        <w:rPr>
          <w:rFonts w:ascii="Calibri" w:hAnsi="Calibri"/>
          <w:b/>
          <w:color w:val="3B4259"/>
          <w:sz w:val="28"/>
        </w:rPr>
        <w:t>Lincoln Financial Group (LNC) — Q2 2026 Earnings (Reported July 30, 2026)</w:t>
      </w:r>
    </w:p>
    <w:p>
      <w:pPr>
        <w:pStyle w:val="Heading3"/>
      </w:pPr>
      <w:r>
        <w:rPr>
          <w:rFonts w:ascii="Calibri" w:hAnsi="Calibri"/>
          <w:b/>
          <w:color w:val="3B4259"/>
          <w:sz w:val="24"/>
        </w:rPr>
        <w:t>Group Insurance / Disability Read-Through for PRU</w:t>
      </w:r>
    </w:p>
    <w:p>
      <w:r>
        <w:rPr>
          <w:rFonts w:ascii="Calibri" w:hAnsi="Calibri"/>
          <w:color w:val="525866"/>
          <w:sz w:val="22"/>
        </w:rPr>
        <w:t>LNC’s Group Protection segment reported Q2 2026 operating income of $147M (vs. $173M a year ago), with a disability loss ratio of 71.9% vs. 64.2% in Q2 2025. Management characterized this as “modest normalization from historically strong levels” and guided that “disability results are expected to reflect a broadly similar year-over-year headwind” for the remainder of 2026. Critically, LNC confirmed it expects to deliver a full-year Group Protection margin within its 8–9% target range. The life loss ratio improved to ~62% (favorable ~500 bps YoY) on “low incidence levels and favorable mortality.”</w:t>
      </w:r>
    </w:p>
    <w:p>
      <w:r>
        <w:rPr>
          <w:rFonts w:ascii="Calibri" w:hAnsi="Calibri"/>
          <w:b/>
          <w:color w:val="525866"/>
          <w:sz w:val="22"/>
        </w:rPr>
        <w:t xml:space="preserve">PRU Read-Through: </w:t>
      </w:r>
      <w:r>
        <w:rPr>
          <w:rFonts w:ascii="Calibri" w:hAnsi="Calibri"/>
          <w:color w:val="525866"/>
          <w:sz w:val="22"/>
        </w:rPr>
        <w:t>LNC’s disability normalization commentary is a direct read-through for PRU’s Group Insurance segment, which reported a benefits ratio of 83.7% in Q1 2026 (within the 83–87% target range) on higher LTD incidence and severity. LNC’s experience suggests disability headwinds are real but manageable and within guided ranges — a modest negative read-through for PRU’s Q2 Group Insurance results, though PRU’s actuarial update already includes a +$30M Group Insurance adjustment. LNC’s favorable life mortality is a positive read-through for PRU’s Individual Life segment, which more than doubled YoY in Q1 2026 on favorable mortality.</w:t>
      </w:r>
    </w:p>
    <w:p>
      <w:pPr>
        <w:pStyle w:val="Heading3"/>
      </w:pPr>
      <w:r>
        <w:rPr>
          <w:rFonts w:ascii="Calibri" w:hAnsi="Calibri"/>
          <w:b/>
          <w:color w:val="3B4259"/>
          <w:sz w:val="24"/>
        </w:rPr>
        <w:t>Annuities / Spread Income Read-Through for PRU</w:t>
      </w:r>
    </w:p>
    <w:p>
      <w:r>
        <w:rPr>
          <w:rFonts w:ascii="Calibri" w:hAnsi="Calibri"/>
          <w:color w:val="525866"/>
          <w:sz w:val="22"/>
        </w:rPr>
        <w:t>LNC’s Annuities segment reported Q2 2026 operating income of $287M, with total sales of $3.5B (+10% YoY). Spread-based products constituted 63% of sales, and management noted that “variable annuities without living benefit guarantees rose more than 60% year over year and, for the first time, exceeded those with guarantees” — a structural shift toward capital-efficient products. LNC guided that “higher starting account balances, an additional fee day, and continued spread income growth are expected to support additional earnings growth” in Q3. Total net outflows were ~$2.9B, primarily from traditional variable annuities ($2.7B), consistent with expectations.</w:t>
      </w:r>
    </w:p>
    <w:p>
      <w:r>
        <w:rPr>
          <w:rFonts w:ascii="Calibri" w:hAnsi="Calibri"/>
          <w:b/>
          <w:color w:val="525866"/>
          <w:sz w:val="22"/>
        </w:rPr>
        <w:t xml:space="preserve">PRU Read-Through: </w:t>
      </w:r>
      <w:r>
        <w:rPr>
          <w:rFonts w:ascii="Calibri" w:hAnsi="Calibri"/>
          <w:color w:val="525866"/>
          <w:sz w:val="22"/>
        </w:rPr>
        <w:t>LNC’s strong spread income growth and shift toward capital-efficient annuity products is a positive read-through for PRU’s Retirement segment, which delivered strong Q1 2026 results driven by retail annuity and PRT momentum. The continued VA runoff at LNC mirrors PRU’s own U.S. Legacy Products runoff dynamic. LNC’s reinsurance of ~$6B of legacy GUL reserves with Talca (announced Q2 2026) is directly relevant to PRU’s own GUL runoff management and Prismic strategy — it validates the industry trend toward reinsurance-driven balance sheet optimization.</w:t>
      </w:r>
    </w:p>
    <w:p>
      <w:pPr>
        <w:pStyle w:val="Heading3"/>
      </w:pPr>
      <w:r>
        <w:rPr>
          <w:rFonts w:ascii="Calibri" w:hAnsi="Calibri"/>
          <w:b/>
          <w:color w:val="3B4259"/>
          <w:sz w:val="24"/>
        </w:rPr>
        <w:t>Capital Management / Legacy Block De-Risking Read-Through</w:t>
      </w:r>
    </w:p>
    <w:p>
      <w:r>
        <w:rPr>
          <w:rFonts w:ascii="Calibri" w:hAnsi="Calibri"/>
          <w:color w:val="525866"/>
          <w:sz w:val="22"/>
        </w:rPr>
        <w:t>LNC announced an agreement with Talca to reinsure ~$6B of legacy GUL reserves (37% of remaining GUL block), combined with the prior Fortitude Re transaction, bringing ~60% of total in-force GUL to be reinsured. The statutory capital impact is ~$200M (~10 RBC percentage points), funded from Bain Capital transaction proceeds. LNC expects the transaction to increase ongoing annual free cash flow by $30–40M/year. LNC also issued $500M of hybrid securities to pre-fund preferred stock redemptions, and confirmed its RBC ratio remains well above the 400% target. LNC’s estimated RBC ratio remains well above its 400% target and the 20-point buffer.</w:t>
      </w:r>
    </w:p>
    <w:p>
      <w:r>
        <w:rPr>
          <w:rFonts w:ascii="Calibri" w:hAnsi="Calibri"/>
          <w:b/>
          <w:color w:val="525866"/>
          <w:sz w:val="22"/>
        </w:rPr>
        <w:t xml:space="preserve">PRU Read-Through: </w:t>
      </w:r>
      <w:r>
        <w:rPr>
          <w:rFonts w:ascii="Calibri" w:hAnsi="Calibri"/>
          <w:color w:val="525866"/>
          <w:sz w:val="22"/>
        </w:rPr>
        <w:t>LNC’s aggressive legacy block de-risking via reinsurance validates the industry direction PRU is pursuing through Prismic. PRU’s ESR of 170–190% (vs. 150% target) and $3.7B cash/liquid assets provide ample capital flexibility. The LNC precedent suggests PRU could announce additional Prismic transactions or legacy block exits as part of the August strategic update — a potential positive catalyst.</w:t>
      </w:r>
    </w:p>
    <w:p>
      <w:pPr>
        <w:pStyle w:val="Heading2"/>
      </w:pPr>
      <w:r>
        <w:rPr>
          <w:rFonts w:ascii="Calibri" w:hAnsi="Calibri"/>
          <w:b/>
          <w:color w:val="3B4259"/>
          <w:sz w:val="28"/>
        </w:rPr>
        <w:t>Principal Financial Group (PFG) — Q2 2026 Earnings (Reported July 27–28, 2026)</w:t>
      </w:r>
    </w:p>
    <w:p>
      <w:pPr>
        <w:pStyle w:val="Heading3"/>
      </w:pPr>
      <w:r>
        <w:rPr>
          <w:rFonts w:ascii="Calibri" w:hAnsi="Calibri"/>
          <w:b/>
          <w:color w:val="3B4259"/>
          <w:sz w:val="24"/>
        </w:rPr>
        <w:t>Asset Management Flows / PGIM Read-Through</w:t>
      </w:r>
    </w:p>
    <w:p>
      <w:r>
        <w:rPr>
          <w:rFonts w:ascii="Calibri" w:hAnsi="Calibri"/>
          <w:color w:val="525866"/>
          <w:sz w:val="22"/>
        </w:rPr>
        <w:t>PFG reported total net outflows of ~$11B in Q2 2026, “concentrated in a small number of U.S. active equity strategies” representing slightly more than 5% of firm AUM. PFG’s asset management CEO attributed this to “an acute and unusual market that has neither rewarded high quality companies or valuation aware stock picking,” noting that “highest quality companies on the period ending 6/30 returned 4%, whereas the lowest quality companies returned 70%.” He stated that “predicting an immediate flow reversal or even predicting it over the next six months would not be prudent,” though he noted that in July, “as those factors have reversed, our performance has become quite strong.” PFG’s committed-not-funded pipeline grew to ~$10B in Q2 (up from Q1). Fixed income performance “continues to improve” in high yield credit, emerging market debt, and muni credit. Private markets AUM grew 10% YoY; international pension AUM grew 18% YoY.</w:t>
      </w:r>
    </w:p>
    <w:p>
      <w:r>
        <w:rPr>
          <w:rFonts w:ascii="Calibri" w:hAnsi="Calibri"/>
          <w:b/>
          <w:color w:val="525866"/>
          <w:sz w:val="22"/>
        </w:rPr>
        <w:t xml:space="preserve">PRU Read-Through: </w:t>
      </w:r>
      <w:r>
        <w:rPr>
          <w:rFonts w:ascii="Calibri" w:hAnsi="Calibri"/>
          <w:color w:val="525866"/>
          <w:sz w:val="22"/>
        </w:rPr>
        <w:t xml:space="preserve">PFG’s active equity outflow experience is a direct and </w:t>
      </w:r>
      <w:r>
        <w:rPr>
          <w:rFonts w:ascii="Calibri" w:hAnsi="Calibri"/>
          <w:b/>
          <w:color w:val="525866"/>
          <w:sz w:val="22"/>
        </w:rPr>
        <w:t>cautionary</w:t>
      </w:r>
      <w:r>
        <w:rPr>
          <w:rFonts w:ascii="Calibri" w:hAnsi="Calibri"/>
          <w:color w:val="525866"/>
          <w:sz w:val="22"/>
        </w:rPr>
        <w:t xml:space="preserve"> read-through for PGIM, which also faces active equity headwinds (Q1 2026: third-party net inflows of $1.8B driven by fixed income, offset by equity outflows). The unusual market dynamic (low-quality outperforming high-quality) that pressured PFG’s flows likely also pressured PGIM’s equity AUM and flows in Q2. However, PGIM’s stronger fixed income franchise and private credit/alternatives platform may provide better insulation. PFG’s growing pipeline and July performance improvement are modestly encouraging for PGIM’s Q3 flow outlook. The pre-announced PGIM AUM of $1.49T (July 15 8-K) already confirms market appreciation drove AUM higher despite likely continued equity outflows.</w:t>
      </w:r>
    </w:p>
    <w:p>
      <w:pPr>
        <w:pStyle w:val="Heading3"/>
      </w:pPr>
      <w:r>
        <w:rPr>
          <w:rFonts w:ascii="Calibri" w:hAnsi="Calibri"/>
          <w:b/>
          <w:color w:val="3B4259"/>
          <w:sz w:val="24"/>
        </w:rPr>
        <w:t>Benefits &amp; Protection / Mortality Read-Through for PRU</w:t>
      </w:r>
    </w:p>
    <w:p>
      <w:r>
        <w:rPr>
          <w:rFonts w:ascii="Calibri" w:hAnsi="Calibri"/>
          <w:color w:val="525866"/>
          <w:sz w:val="22"/>
        </w:rPr>
        <w:t>PFG’s Benefits and Protection segment delivered pre-tax operating earnings of $191M (+29% YoY), driven by “favorable specialty benefits underwriting results and improved life mortality.” The specialty benefits loss ratio improved 280 bps to 57.4%. Disability results were “driven by lower incidence across all disability lines,” with recoveries for Group LTD “right in line with expectations” — an incidence-driven (not severity-driven) outperformance, which PFG noted “tend to last longer.” PFG’s CFO guided that full-year loss ratios are expected to “emerge below the low end of the guidance range.”</w:t>
      </w:r>
    </w:p>
    <w:p>
      <w:r>
        <w:rPr>
          <w:rFonts w:ascii="Calibri" w:hAnsi="Calibri"/>
          <w:b/>
          <w:color w:val="525866"/>
          <w:sz w:val="22"/>
        </w:rPr>
        <w:t xml:space="preserve">PRU Read-Through: </w:t>
      </w:r>
      <w:r>
        <w:rPr>
          <w:rFonts w:ascii="Calibri" w:hAnsi="Calibri"/>
          <w:color w:val="525866"/>
          <w:sz w:val="22"/>
        </w:rPr>
        <w:t xml:space="preserve">PFG’s favorable mortality and incidence-driven disability outperformance is a </w:t>
      </w:r>
      <w:r>
        <w:rPr>
          <w:rFonts w:ascii="Calibri" w:hAnsi="Calibri"/>
          <w:b/>
          <w:color w:val="525866"/>
          <w:sz w:val="22"/>
        </w:rPr>
        <w:t>positive</w:t>
      </w:r>
      <w:r>
        <w:rPr>
          <w:rFonts w:ascii="Calibri" w:hAnsi="Calibri"/>
          <w:color w:val="525866"/>
          <w:sz w:val="22"/>
        </w:rPr>
        <w:t xml:space="preserve"> read-through for PRU’s Individual Life segment (which more than doubled YoY in Q1 on favorable mortality) and a </w:t>
      </w:r>
      <w:r>
        <w:rPr>
          <w:rFonts w:ascii="Calibri" w:hAnsi="Calibri"/>
          <w:b/>
          <w:color w:val="525866"/>
          <w:sz w:val="22"/>
        </w:rPr>
        <w:t>mixed</w:t>
      </w:r>
      <w:r>
        <w:rPr>
          <w:rFonts w:ascii="Calibri" w:hAnsi="Calibri"/>
          <w:color w:val="525866"/>
          <w:sz w:val="22"/>
        </w:rPr>
        <w:t xml:space="preserve"> read-through for Group Insurance. PFG’s disability results were better than LNC’s, suggesting company-specific underwriting mix matters — PRU’s Group Insurance Q2 result will depend on whether its LTD incidence trends tracked PFG’s (favorable) or LNC’s (normalizing) experience. The actuarial update already includes a +$30M Group Insurance adjustment, suggesting some favorable development was anticipated.</w:t>
      </w:r>
    </w:p>
    <w:p>
      <w:pPr>
        <w:pStyle w:val="Heading3"/>
      </w:pPr>
      <w:r>
        <w:rPr>
          <w:rFonts w:ascii="Calibri" w:hAnsi="Calibri"/>
          <w:b/>
          <w:color w:val="3B4259"/>
          <w:sz w:val="24"/>
        </w:rPr>
        <w:t>Retirement / PRT Read-Through for PRU</w:t>
      </w:r>
    </w:p>
    <w:p>
      <w:r>
        <w:rPr>
          <w:rFonts w:ascii="Calibri" w:hAnsi="Calibri"/>
          <w:color w:val="525866"/>
          <w:sz w:val="22"/>
        </w:rPr>
        <w:t>PFG reported $500M of Pension Risk Transfer (PRT) sales in Q2 2026, with transfer deposits up 30% YoY and recurring deposits up 6%. The company noted “consistent participant growth over the last several quarters” and “strong retention.” PFG’s Retirement Plan Services operating income grew 32% YoY to $49M, supported by higher equity markets and spread expansion (base spreads of 119 bps, +20 bps YoY). PFG also noted that “market increase does have a negative impact on flows, but a positive impact on revenue and earnings.”</w:t>
      </w:r>
    </w:p>
    <w:p>
      <w:r>
        <w:rPr>
          <w:rFonts w:ascii="Calibri" w:hAnsi="Calibri"/>
          <w:b/>
          <w:color w:val="525866"/>
          <w:sz w:val="22"/>
        </w:rPr>
        <w:t xml:space="preserve">PRU Read-Through: </w:t>
      </w:r>
      <w:r>
        <w:rPr>
          <w:rFonts w:ascii="Calibri" w:hAnsi="Calibri"/>
          <w:color w:val="525866"/>
          <w:sz w:val="22"/>
        </w:rPr>
        <w:t xml:space="preserve">PFG’s strong PRT sales and spread expansion are a </w:t>
      </w:r>
      <w:r>
        <w:rPr>
          <w:rFonts w:ascii="Calibri" w:hAnsi="Calibri"/>
          <w:b/>
          <w:color w:val="525866"/>
          <w:sz w:val="22"/>
        </w:rPr>
        <w:t>positive</w:t>
      </w:r>
      <w:r>
        <w:rPr>
          <w:rFonts w:ascii="Calibri" w:hAnsi="Calibri"/>
          <w:color w:val="525866"/>
          <w:sz w:val="22"/>
        </w:rPr>
        <w:t xml:space="preserve"> read-through for PRU’s Institutional Retirement Strategies segment, which has been a consistent growth driver. PRU’s retail annuity momentum (&gt;$3B in Q1 sales, FlexGuard 2.0 launch) and PRT pipeline suggest Q2 Retirement results should remain solid. The higher equity market environment (positive for account values and fee income) is a tailwind for both companies.</w:t>
      </w:r>
    </w:p>
    <w:p>
      <w:pPr>
        <w:pStyle w:val="Heading3"/>
      </w:pPr>
      <w:r>
        <w:rPr>
          <w:rFonts w:ascii="Calibri" w:hAnsi="Calibri"/>
          <w:b/>
          <w:color w:val="3B4259"/>
          <w:sz w:val="24"/>
        </w:rPr>
        <w:t>Variable Investment Income (Alt Income) Read-Through</w:t>
      </w:r>
    </w:p>
    <w:p>
      <w:r>
        <w:rPr>
          <w:rFonts w:ascii="Calibri" w:hAnsi="Calibri"/>
          <w:color w:val="525866"/>
          <w:sz w:val="22"/>
        </w:rPr>
        <w:t>PFG’s CFO noted that Variable Investment Income (VII) results were “in line with expectations” in Q2 2026, with “no real estate transaction activity in the first half of the year.” PFG guided that VII improvement in 2026 vs. 2025 is “fully expected to continue for the remaining quarters of 2026.” LNC’s alternative investment portfolio delivered an annualized return of ~5% in Q2 vs. a 10% target, representing a $43M after-tax headwind, with management guiding that “alternative investment returns are expected to recover and be at or above target” in Q3.</w:t>
      </w:r>
    </w:p>
    <w:p>
      <w:r>
        <w:rPr>
          <w:rFonts w:ascii="Calibri" w:hAnsi="Calibri"/>
          <w:b/>
          <w:color w:val="525866"/>
          <w:sz w:val="22"/>
        </w:rPr>
        <w:t xml:space="preserve">PRU Read-Through: </w:t>
      </w:r>
      <w:r>
        <w:rPr>
          <w:rFonts w:ascii="Calibri" w:hAnsi="Calibri"/>
          <w:color w:val="525866"/>
          <w:sz w:val="22"/>
        </w:rPr>
        <w:t>LNC’s below-target alt investment returns in Q2 are consistent with PRU’s own July 15 disclosure of GA Portfolio alt income running $20–$40M below near-term expectations. PFG’s in-line VII result (no real estate transactions) suggests the shortfall is not universal — PRU’s miss may be more idiosyncratic to its specific private equity and real estate portfolio timing. Both LNC and PFG guide for improvement in H2 2026, which is constructive for PRU’s Q3/Q4 alt income trajectory.</w:t>
      </w:r>
    </w:p>
    <w:p>
      <w:r>
        <w:rPr>
          <w:rFonts w:ascii="Calibri" w:hAnsi="Calibri"/>
          <w:i/>
          <w:color w:val="525866"/>
          <w:sz w:val="22"/>
        </w:rPr>
        <w:t xml:space="preserve">Sources: </w:t>
      </w:r>
      <w:r>
        <w:rPr>
          <w:rFonts w:ascii="Calibri" w:hAnsi="Calibri"/>
          <w:i/>
          <w:color w:val="525866"/>
          <w:sz w:val="22"/>
        </w:rPr>
        <w:t>LNC Q2 2026 Earnings Call transcript (July 30, 2026); LNC Q2 2026 Earnings Release (July 30, 2026); PFG Q2 2026 Earnings Call transcript (July 28, 2026); PFG Q2 2026 Earnings Release (July 27, 2026).</w:t>
      </w:r>
    </w:p>
    <w:p>
      <w:r>
        <w:br w:type="page"/>
      </w:r>
    </w:p>
    <w:p>
      <w:pPr>
        <w:pStyle w:val="Heading1"/>
        <w:pBdr>
          <w:bottom w:val="single" w:sz="4" w:space="1" w:color="FB9120"/>
        </w:pBdr>
      </w:pPr>
      <w:r>
        <w:rPr>
          <w:rFonts w:ascii="Calibri" w:hAnsi="Calibri"/>
          <w:b/>
          <w:color w:val="3B4259"/>
          <w:sz w:val="40"/>
        </w:rPr>
        <w:t>8. Insider Transaction Activity</w:t>
      </w:r>
    </w:p>
    <w:p>
      <w:r>
        <w:rPr>
          <w:rFonts w:ascii="Calibri" w:hAnsi="Calibri"/>
          <w:b/>
          <w:color w:val="525866"/>
          <w:sz w:val="22"/>
        </w:rPr>
        <w:t xml:space="preserve">Key Takeaway: </w:t>
      </w:r>
      <w:r>
        <w:rPr>
          <w:rFonts w:ascii="Calibri" w:hAnsi="Calibri"/>
          <w:color w:val="525866"/>
          <w:sz w:val="22"/>
        </w:rPr>
        <w:t>No open-market discretionary buying or selling by named executives since Q1 earnings; the only Form 4 activity involves a 10b5-1 planned sale by the General Counsel and subsidiary-level preferred stock transactions by Prudential Insurance Co. of America (a 10% owner/subsidiary) — neither signals unusual insider conviction in either direction.</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Name</w:t>
            </w:r>
          </w:p>
        </w:tc>
        <w:tc>
          <w:tcPr>
            <w:tcW w:type="dxa" w:w="1234"/>
            <w:shd w:val="clear" w:color="auto" w:fill="3B4259"/>
          </w:tcPr>
          <w:p>
            <w:r>
              <w:rPr>
                <w:rFonts w:ascii="Calibri" w:hAnsi="Calibri"/>
                <w:b/>
                <w:color w:val="FFFFFF"/>
                <w:sz w:val="22"/>
              </w:rPr>
              <w:t>Title</w:t>
            </w:r>
          </w:p>
        </w:tc>
        <w:tc>
          <w:tcPr>
            <w:tcW w:type="dxa" w:w="1234"/>
            <w:shd w:val="clear" w:color="auto" w:fill="3B4259"/>
          </w:tcPr>
          <w:p>
            <w:r>
              <w:rPr>
                <w:rFonts w:ascii="Calibri" w:hAnsi="Calibri"/>
                <w:b/>
                <w:color w:val="FFFFFF"/>
                <w:sz w:val="22"/>
              </w:rPr>
              <w:t>Transaction Type</w:t>
            </w:r>
          </w:p>
        </w:tc>
        <w:tc>
          <w:tcPr>
            <w:tcW w:type="dxa" w:w="1234"/>
            <w:shd w:val="clear" w:color="auto" w:fill="3B4259"/>
          </w:tcPr>
          <w:p>
            <w:r>
              <w:rPr>
                <w:rFonts w:ascii="Calibri" w:hAnsi="Calibri"/>
                <w:b/>
                <w:color w:val="FFFFFF"/>
                <w:sz w:val="22"/>
              </w:rPr>
              <w:t>Security</w:t>
            </w:r>
          </w:p>
        </w:tc>
        <w:tc>
          <w:tcPr>
            <w:tcW w:type="dxa" w:w="1234"/>
            <w:shd w:val="clear" w:color="auto" w:fill="3B4259"/>
          </w:tcPr>
          <w:p>
            <w:r>
              <w:rPr>
                <w:rFonts w:ascii="Calibri" w:hAnsi="Calibri"/>
                <w:b/>
                <w:color w:val="FFFFFF"/>
                <w:sz w:val="22"/>
              </w:rPr>
              <w:t>Amount / Value</w:t>
            </w:r>
          </w:p>
        </w:tc>
        <w:tc>
          <w:tcPr>
            <w:tcW w:type="dxa" w:w="1234"/>
            <w:shd w:val="clear" w:color="auto" w:fill="3B4259"/>
          </w:tcPr>
          <w:p>
            <w:r>
              <w:rPr>
                <w:rFonts w:ascii="Calibri" w:hAnsi="Calibri"/>
                <w:b/>
                <w:color w:val="FFFFFF"/>
                <w:sz w:val="22"/>
              </w:rPr>
              <w:t>Transaction Date</w:t>
            </w:r>
          </w:p>
        </w:tc>
        <w:tc>
          <w:tcPr>
            <w:tcW w:type="dxa" w:w="1234"/>
            <w:shd w:val="clear" w:color="auto" w:fill="3B4259"/>
          </w:tcPr>
          <w:p>
            <w:r>
              <w:rPr>
                <w:rFonts w:ascii="Calibri" w:hAnsi="Calibri"/>
                <w:b/>
                <w:color w:val="FFFFFF"/>
                <w:sz w:val="22"/>
              </w:rPr>
              <w:t>Note</w:t>
            </w:r>
          </w:p>
        </w:tc>
      </w:tr>
      <w:tr>
        <w:tc>
          <w:tcPr>
            <w:tcW w:type="dxa" w:w="1234"/>
          </w:tcPr>
          <w:p>
            <w:r>
              <w:rPr>
                <w:rFonts w:ascii="Calibri" w:hAnsi="Calibri"/>
                <w:sz w:val="22"/>
              </w:rPr>
              <w:t>Kappler, Ann M.</w:t>
            </w:r>
          </w:p>
        </w:tc>
        <w:tc>
          <w:tcPr>
            <w:tcW w:type="dxa" w:w="1234"/>
          </w:tcPr>
          <w:p>
            <w:r>
              <w:rPr>
                <w:rFonts w:ascii="Calibri" w:hAnsi="Calibri"/>
                <w:sz w:val="22"/>
              </w:rPr>
              <w:t>EVP &amp; General Counsel</w:t>
            </w:r>
          </w:p>
        </w:tc>
        <w:tc>
          <w:tcPr>
            <w:tcW w:type="dxa" w:w="1234"/>
          </w:tcPr>
          <w:p>
            <w:r>
              <w:rPr>
                <w:rFonts w:ascii="Calibri" w:hAnsi="Calibri"/>
                <w:sz w:val="22"/>
              </w:rPr>
              <w:t>10b5-1 Planned Sale</w:t>
            </w:r>
          </w:p>
        </w:tc>
        <w:tc>
          <w:tcPr>
            <w:tcW w:type="dxa" w:w="1234"/>
          </w:tcPr>
          <w:p>
            <w:r>
              <w:rPr>
                <w:rFonts w:ascii="Calibri" w:hAnsi="Calibri"/>
                <w:sz w:val="22"/>
              </w:rPr>
              <w:t>Common Stock</w:t>
            </w:r>
          </w:p>
        </w:tc>
        <w:tc>
          <w:tcPr>
            <w:tcW w:type="dxa" w:w="1234"/>
          </w:tcPr>
          <w:p>
            <w:r>
              <w:rPr>
                <w:rFonts w:ascii="Calibri" w:hAnsi="Calibri"/>
                <w:sz w:val="22"/>
              </w:rPr>
              <w:t>13,580 shares</w:t>
            </w:r>
          </w:p>
        </w:tc>
        <w:tc>
          <w:tcPr>
            <w:tcW w:type="dxa" w:w="1234"/>
          </w:tcPr>
          <w:p>
            <w:r>
              <w:rPr>
                <w:rFonts w:ascii="Calibri" w:hAnsi="Calibri"/>
                <w:sz w:val="22"/>
              </w:rPr>
              <w:t>May 14, 2026</w:t>
            </w:r>
          </w:p>
        </w:tc>
        <w:tc>
          <w:tcPr>
            <w:tcW w:type="dxa" w:w="1234"/>
          </w:tcPr>
          <w:p>
            <w:r>
              <w:rPr>
                <w:rFonts w:ascii="Calibri" w:hAnsi="Calibri"/>
                <w:sz w:val="22"/>
              </w:rPr>
              <w:t>Pre-planned 10b5-1 sale; 22,059 shares retained post-transaction; routine, not discretionary</w:t>
            </w:r>
          </w:p>
        </w:tc>
      </w:tr>
      <w:tr>
        <w:tc>
          <w:tcPr>
            <w:tcW w:type="dxa" w:w="1234"/>
          </w:tcPr>
          <w:p>
            <w:r>
              <w:rPr>
                <w:rFonts w:ascii="Calibri" w:hAnsi="Calibri"/>
                <w:sz w:val="22"/>
              </w:rPr>
              <w:t>Prudential Insurance Co. of America (10% Owner / Subsidiary)</w:t>
            </w:r>
          </w:p>
        </w:tc>
        <w:tc>
          <w:tcPr>
            <w:tcW w:type="dxa" w:w="1234"/>
          </w:tcPr>
          <w:p>
            <w:r>
              <w:rPr>
                <w:rFonts w:ascii="Calibri" w:hAnsi="Calibri"/>
                <w:sz w:val="22"/>
              </w:rPr>
              <w:t>10% Owner (Subsidiary)</w:t>
            </w:r>
          </w:p>
        </w:tc>
        <w:tc>
          <w:tcPr>
            <w:tcW w:type="dxa" w:w="1234"/>
          </w:tcPr>
          <w:p>
            <w:r>
              <w:rPr>
                <w:rFonts w:ascii="Calibri" w:hAnsi="Calibri"/>
                <w:sz w:val="22"/>
              </w:rPr>
              <w:t>Open Market Purchase (Subsidiary)</w:t>
            </w:r>
          </w:p>
        </w:tc>
        <w:tc>
          <w:tcPr>
            <w:tcW w:type="dxa" w:w="1234"/>
          </w:tcPr>
          <w:p>
            <w:r>
              <w:rPr>
                <w:rFonts w:ascii="Calibri" w:hAnsi="Calibri"/>
                <w:sz w:val="22"/>
              </w:rPr>
              <w:t>Series K &amp; L Mandatory Redeemable Preferred Stock</w:t>
            </w:r>
          </w:p>
        </w:tc>
        <w:tc>
          <w:tcPr>
            <w:tcW w:type="dxa" w:w="1234"/>
          </w:tcPr>
          <w:p>
            <w:r>
              <w:rPr>
                <w:rFonts w:ascii="Calibri" w:hAnsi="Calibri"/>
                <w:sz w:val="22"/>
              </w:rPr>
              <w:t>3,000,000 shares each (Series K &amp; L)</w:t>
            </w:r>
          </w:p>
        </w:tc>
        <w:tc>
          <w:tcPr>
            <w:tcW w:type="dxa" w:w="1234"/>
          </w:tcPr>
          <w:p>
            <w:r>
              <w:rPr>
                <w:rFonts w:ascii="Calibri" w:hAnsi="Calibri"/>
                <w:sz w:val="22"/>
              </w:rPr>
              <w:t>July 15, 2026</w:t>
            </w:r>
          </w:p>
        </w:tc>
        <w:tc>
          <w:tcPr>
            <w:tcW w:type="dxa" w:w="1234"/>
          </w:tcPr>
          <w:p>
            <w:r>
              <w:rPr>
                <w:rFonts w:ascii="Calibri" w:hAnsi="Calibri"/>
                <w:sz w:val="22"/>
              </w:rPr>
              <w:t>Subsidiary-level preferred stock purchase; not a signal of executive conviction on common stock; likely related to capital structure management</w:t>
            </w:r>
          </w:p>
        </w:tc>
      </w:tr>
      <w:tr>
        <w:tc>
          <w:tcPr>
            <w:tcW w:type="dxa" w:w="1234"/>
          </w:tcPr>
          <w:p>
            <w:r>
              <w:rPr>
                <w:rFonts w:ascii="Calibri" w:hAnsi="Calibri"/>
                <w:sz w:val="22"/>
              </w:rPr>
              <w:t>Prudential Insurance Co. of America (10% Owner / Subsidiary)</w:t>
            </w:r>
          </w:p>
        </w:tc>
        <w:tc>
          <w:tcPr>
            <w:tcW w:type="dxa" w:w="1234"/>
          </w:tcPr>
          <w:p>
            <w:r>
              <w:rPr>
                <w:rFonts w:ascii="Calibri" w:hAnsi="Calibri"/>
                <w:sz w:val="22"/>
              </w:rPr>
              <w:t>10% Owner (Subsidiary)</w:t>
            </w:r>
          </w:p>
        </w:tc>
        <w:tc>
          <w:tcPr>
            <w:tcW w:type="dxa" w:w="1234"/>
          </w:tcPr>
          <w:p>
            <w:r>
              <w:rPr>
                <w:rFonts w:ascii="Calibri" w:hAnsi="Calibri"/>
                <w:sz w:val="22"/>
              </w:rPr>
              <w:t>Open Market Sale (Subsidiary)</w:t>
            </w:r>
          </w:p>
        </w:tc>
        <w:tc>
          <w:tcPr>
            <w:tcW w:type="dxa" w:w="1234"/>
          </w:tcPr>
          <w:p>
            <w:r>
              <w:rPr>
                <w:rFonts w:ascii="Calibri" w:hAnsi="Calibri"/>
                <w:sz w:val="22"/>
              </w:rPr>
              <w:t>Class I Common Shares of Beneficial Interest (REIT/Fund)</w:t>
            </w:r>
          </w:p>
        </w:tc>
        <w:tc>
          <w:tcPr>
            <w:tcW w:type="dxa" w:w="1234"/>
          </w:tcPr>
          <w:p>
            <w:r>
              <w:rPr>
                <w:rFonts w:ascii="Calibri" w:hAnsi="Calibri"/>
                <w:sz w:val="22"/>
              </w:rPr>
              <w:t>214,746 shares; ~$7.97M remaining position</w:t>
            </w:r>
          </w:p>
        </w:tc>
        <w:tc>
          <w:tcPr>
            <w:tcW w:type="dxa" w:w="1234"/>
          </w:tcPr>
          <w:p>
            <w:r>
              <w:rPr>
                <w:rFonts w:ascii="Calibri" w:hAnsi="Calibri"/>
                <w:sz w:val="22"/>
              </w:rPr>
              <w:t>July 28, 2026</w:t>
            </w:r>
          </w:p>
        </w:tc>
        <w:tc>
          <w:tcPr>
            <w:tcW w:type="dxa" w:w="1234"/>
          </w:tcPr>
          <w:p>
            <w:r>
              <w:rPr>
                <w:rFonts w:ascii="Calibri" w:hAnsi="Calibri"/>
                <w:sz w:val="22"/>
              </w:rPr>
              <w:t>Subsidiary selling a non-PRU common stock position (REIT/fund shares); not a sale of PRU common stock; not a signal on PRU</w:t>
            </w:r>
          </w:p>
        </w:tc>
      </w:tr>
    </w:tbl>
    <w:p>
      <w:r>
        <w:rPr>
          <w:rFonts w:ascii="Calibri" w:hAnsi="Calibri"/>
          <w:b/>
          <w:color w:val="525866"/>
          <w:sz w:val="22"/>
        </w:rPr>
        <w:t xml:space="preserve">Overall Assessment: </w:t>
      </w:r>
      <w:r>
        <w:rPr>
          <w:rFonts w:ascii="Calibri" w:hAnsi="Calibri"/>
          <w:color w:val="525866"/>
          <w:sz w:val="22"/>
        </w:rPr>
        <w:t>The insider picture is quiet. The only named executive transaction is the General Counsel’s 10b5-1 planned sale of 13,580 shares in May — a pre-scheduled, obligation-driven transaction that retains 22,059 shares and carries no informational signal. The subsidiary-level preferred stock and REIT/fund share transactions by Prudential Insurance Co. of America are capital structure and portfolio management activities, not signals on PRU common stock. The absence of open-market discretionary buying by senior executives ahead of a potentially transformative August 5 strategic update is notable but not alarming — blackout periods and 10b5-1 plan constraints likely preclude discretionary activity.</w:t>
      </w:r>
    </w:p>
    <w:p>
      <w:r>
        <w:rPr>
          <w:rFonts w:ascii="Calibri" w:hAnsi="Calibri"/>
          <w:i/>
          <w:color w:val="525866"/>
          <w:sz w:val="22"/>
        </w:rPr>
        <w:t xml:space="preserve">Source: </w:t>
      </w:r>
      <w:r>
        <w:rPr>
          <w:rFonts w:ascii="Calibri" w:hAnsi="Calibri"/>
          <w:i/>
          <w:color w:val="525866"/>
          <w:sz w:val="22"/>
        </w:rPr>
        <w:t>SEC Form 4 Filings Database (Insider Transaction Data).</w:t>
      </w:r>
    </w:p>
    <w:p>
      <w:r>
        <w:br w:type="page"/>
      </w:r>
    </w:p>
    <w:p>
      <w:pPr>
        <w:pStyle w:val="Heading1"/>
        <w:pBdr>
          <w:bottom w:val="single" w:sz="4" w:space="1" w:color="FB9120"/>
        </w:pBdr>
      </w:pPr>
      <w:r>
        <w:rPr>
          <w:rFonts w:ascii="Calibri" w:hAnsi="Calibri"/>
          <w:b/>
          <w:color w:val="3B4259"/>
          <w:sz w:val="40"/>
        </w:rPr>
        <w:t>9. Key Risks &amp; Questions for Management</w:t>
      </w:r>
    </w:p>
    <w:p>
      <w:pPr>
        <w:pStyle w:val="Heading2"/>
      </w:pPr>
      <w:r>
        <w:rPr>
          <w:rFonts w:ascii="Calibri" w:hAnsi="Calibri"/>
          <w:b/>
          <w:color w:val="3B4259"/>
          <w:sz w:val="28"/>
        </w:rPr>
        <w:t>Key Risks</w:t>
      </w:r>
    </w:p>
    <w:p>
      <w:pPr>
        <w:pStyle w:val="ListBullet"/>
        <w:ind w:left="360" w:hanging="360"/>
      </w:pPr>
      <w:r>
        <w:rPr>
          <w:rFonts w:ascii="Calibri" w:hAnsi="Calibri"/>
          <w:b/>
          <w:color w:val="525866"/>
          <w:sz w:val="22"/>
        </w:rPr>
        <w:t xml:space="preserve">Strategic Update Disappointment (High Impact): </w:t>
      </w:r>
      <w:r>
        <w:rPr>
          <w:rFonts w:ascii="Calibri" w:hAnsi="Calibri"/>
          <w:color w:val="525866"/>
          <w:sz w:val="22"/>
        </w:rPr>
        <w:t>The stock has re-rated +22% since Q1 earnings in anticipation of the August 5 “Earnings and Strategy Call.” If the strategic update lacks specificity on portfolio exits, capital redeployment, or PGIM margin targets, the multiple could compress sharply. The market is pricing in a credible transformation story — vague or incremental messaging is the primary downside risk.</w:t>
      </w:r>
    </w:p>
    <w:p>
      <w:pPr>
        <w:pStyle w:val="ListBullet"/>
        <w:ind w:left="360" w:hanging="360"/>
      </w:pPr>
      <w:r>
        <w:rPr>
          <w:rFonts w:ascii="Calibri" w:hAnsi="Calibri"/>
          <w:b/>
          <w:color w:val="525866"/>
          <w:sz w:val="22"/>
        </w:rPr>
        <w:t xml:space="preserve">Japan Sales Ramp Risk (Medium-High Impact): </w:t>
      </w:r>
      <w:r>
        <w:rPr>
          <w:rFonts w:ascii="Calibri" w:hAnsi="Calibri"/>
          <w:color w:val="525866"/>
          <w:sz w:val="22"/>
        </w:rPr>
        <w:t>Management’s FY2026 guidance assumes no POJ sales through November 5 followed by a gradual ramp with 2027 average Life Planner productivity at ~50% of normal. Any indication that the November 5 date slips, that Life Planner retention is deteriorating, or that surrender rates are accelerating beyond assumptions would be a material negative. The July 24 remediation update provided no new financial guidance, leaving uncertainty.</w:t>
      </w:r>
    </w:p>
    <w:p>
      <w:pPr>
        <w:pStyle w:val="ListBullet"/>
        <w:ind w:left="360" w:hanging="360"/>
      </w:pPr>
      <w:r>
        <w:rPr>
          <w:rFonts w:ascii="Calibri" w:hAnsi="Calibri"/>
          <w:b/>
          <w:color w:val="525866"/>
          <w:sz w:val="22"/>
        </w:rPr>
        <w:t xml:space="preserve">PGIM Active Equity Outflows (Medium Impact): </w:t>
      </w:r>
      <w:r>
        <w:rPr>
          <w:rFonts w:ascii="Calibri" w:hAnsi="Calibri"/>
          <w:color w:val="525866"/>
          <w:sz w:val="22"/>
        </w:rPr>
        <w:t>PFG’s Q2 experience of ~$11B in active equity net outflows in an “unusual market” (low-quality outperforming high-quality) is a cautionary read-through for PGIM. If PGIM’s Q2 third-party flows are worse than the Q1 $1.8B net inflow, it could pressure the margin expansion narrative despite the pre-announced $1.49T AUM.</w:t>
      </w:r>
    </w:p>
    <w:p>
      <w:pPr>
        <w:pStyle w:val="ListBullet"/>
        <w:ind w:left="360" w:hanging="360"/>
      </w:pPr>
      <w:r>
        <w:rPr>
          <w:rFonts w:ascii="Calibri" w:hAnsi="Calibri"/>
          <w:b/>
          <w:color w:val="525866"/>
          <w:sz w:val="22"/>
        </w:rPr>
        <w:t xml:space="preserve">Group Insurance Disability Normalization (Medium Impact): </w:t>
      </w:r>
      <w:r>
        <w:rPr>
          <w:rFonts w:ascii="Calibri" w:hAnsi="Calibri"/>
          <w:color w:val="525866"/>
          <w:sz w:val="22"/>
        </w:rPr>
        <w:t>Both LNC and PRU have flagged higher LTD incidence and severity amid macroeconomic uncertainty. If PRU’s Q2 Group Insurance benefits ratio moves above the 83–87% target range, it would be a negative surprise despite the +$30M actuarial adjustment already embedded in Q2.</w:t>
      </w:r>
    </w:p>
    <w:p>
      <w:pPr>
        <w:pStyle w:val="ListBullet"/>
        <w:ind w:left="360" w:hanging="360"/>
      </w:pPr>
      <w:r>
        <w:rPr>
          <w:rFonts w:ascii="Calibri" w:hAnsi="Calibri"/>
          <w:b/>
          <w:color w:val="525866"/>
          <w:sz w:val="22"/>
        </w:rPr>
        <w:t xml:space="preserve">Alternative Investment Income Volatility (Low-Medium Impact): </w:t>
      </w:r>
      <w:r>
        <w:rPr>
          <w:rFonts w:ascii="Calibri" w:hAnsi="Calibri"/>
          <w:color w:val="525866"/>
          <w:sz w:val="22"/>
        </w:rPr>
        <w:t>The $20–$40M GA Portfolio alt-income shortfall is already disclosed and embedded in consensus. However, if the actual miss is at the high end of the range or if management signals continued below-target returns in H2, it could pressure FY2026 EPS estimates.</w:t>
      </w:r>
    </w:p>
    <w:p>
      <w:pPr>
        <w:pStyle w:val="ListBullet"/>
        <w:ind w:left="360" w:hanging="360"/>
      </w:pPr>
      <w:r>
        <w:rPr>
          <w:rFonts w:ascii="Calibri" w:hAnsi="Calibri"/>
          <w:b/>
          <w:color w:val="525866"/>
          <w:sz w:val="22"/>
        </w:rPr>
        <w:t xml:space="preserve">Multiple Compression Risk (Medium Impact): </w:t>
      </w:r>
      <w:r>
        <w:rPr>
          <w:rFonts w:ascii="Calibri" w:hAnsi="Calibri"/>
          <w:color w:val="525866"/>
          <w:sz w:val="22"/>
        </w:rPr>
        <w:t>PRU trades at 8.45x NTM P/E — still at a discount to historical averages and peers, but the 3-month re-rating of +26% in the multiple is the largest driver of stock performance. Any disappointment on the strategic update or Japan trajectory could reverse a meaningful portion of this expansion.</w:t>
      </w:r>
    </w:p>
    <w:p>
      <w:pPr>
        <w:pStyle w:val="Heading2"/>
      </w:pPr>
      <w:r>
        <w:rPr>
          <w:rFonts w:ascii="Calibri" w:hAnsi="Calibri"/>
          <w:b/>
          <w:color w:val="3B4259"/>
          <w:sz w:val="28"/>
        </w:rPr>
        <w:t>Key Questions for Management (August 5 Call)</w:t>
      </w:r>
    </w:p>
    <w:p>
      <w:pPr>
        <w:pStyle w:val="ListNumber"/>
        <w:ind w:left="360" w:hanging="360"/>
      </w:pPr>
      <w:r>
        <w:rPr>
          <w:rFonts w:ascii="Calibri" w:hAnsi="Calibri"/>
          <w:b/>
          <w:color w:val="525866"/>
          <w:sz w:val="22"/>
        </w:rPr>
        <w:t xml:space="preserve">Strategic Portfolio Simplification: </w:t>
      </w:r>
      <w:r>
        <w:rPr>
          <w:rFonts w:ascii="Calibri" w:hAnsi="Calibri"/>
          <w:color w:val="525866"/>
          <w:sz w:val="22"/>
        </w:rPr>
        <w:t>Which specific businesses or geographies are under review for exit or restructuring? What is the timeline and expected capital release from portfolio simplification? How does management define the “core” business mix going forward?</w:t>
      </w:r>
    </w:p>
    <w:p>
      <w:pPr>
        <w:pStyle w:val="ListNumber"/>
        <w:ind w:left="360" w:hanging="360"/>
      </w:pPr>
      <w:r>
        <w:rPr>
          <w:rFonts w:ascii="Calibri" w:hAnsi="Calibri"/>
          <w:b/>
          <w:color w:val="525866"/>
          <w:sz w:val="22"/>
        </w:rPr>
        <w:t xml:space="preserve">Japan Sales Ramp: </w:t>
      </w:r>
      <w:r>
        <w:rPr>
          <w:rFonts w:ascii="Calibri" w:hAnsi="Calibri"/>
          <w:color w:val="525866"/>
          <w:sz w:val="22"/>
        </w:rPr>
        <w:t>Is the November 5, 2026 suspension end date still the base case? What are the latest Life Planner retention metrics? How are surrender rates tracking vs. the assumptions embedded in the $525–$575M FY2026 impact guidance?</w:t>
      </w:r>
    </w:p>
    <w:p>
      <w:pPr>
        <w:pStyle w:val="ListNumber"/>
        <w:ind w:left="360" w:hanging="360"/>
      </w:pPr>
      <w:r>
        <w:rPr>
          <w:rFonts w:ascii="Calibri" w:hAnsi="Calibri"/>
          <w:b/>
          <w:color w:val="525866"/>
          <w:sz w:val="22"/>
        </w:rPr>
        <w:t xml:space="preserve">PGIM Margin Trajectory: </w:t>
      </w:r>
      <w:r>
        <w:rPr>
          <w:rFonts w:ascii="Calibri" w:hAnsi="Calibri"/>
          <w:color w:val="525866"/>
          <w:sz w:val="22"/>
        </w:rPr>
        <w:t>Q2 consensus margin of 25.4% would be a significant sequential recovery from Q1’s 19.1% (seasonally lowest). Is the 25–30% long-term target still the right framework, or is management prepared to narrow or raise the range? What is the flow outlook for Q3 given the active equity headwinds PFG described?</w:t>
      </w:r>
    </w:p>
    <w:p>
      <w:pPr>
        <w:pStyle w:val="ListNumber"/>
        <w:ind w:left="360" w:hanging="360"/>
      </w:pPr>
      <w:r>
        <w:rPr>
          <w:rFonts w:ascii="Calibri" w:hAnsi="Calibri"/>
          <w:b/>
          <w:color w:val="525866"/>
          <w:sz w:val="22"/>
        </w:rPr>
        <w:t xml:space="preserve">Prismic Expansion: </w:t>
      </w:r>
      <w:r>
        <w:rPr>
          <w:rFonts w:ascii="Calibri" w:hAnsi="Calibri"/>
          <w:color w:val="525866"/>
          <w:sz w:val="22"/>
        </w:rPr>
        <w:t>Following the Daiichi third-party transaction in Q1, what is the pipeline for additional third-party reinsurance deals? Is Prismic on track to become a meaningful standalone earnings contributor, and what is the capital deployment capacity?</w:t>
      </w:r>
    </w:p>
    <w:p>
      <w:pPr>
        <w:pStyle w:val="ListNumber"/>
        <w:ind w:left="360" w:hanging="360"/>
      </w:pPr>
      <w:r>
        <w:rPr>
          <w:rFonts w:ascii="Calibri" w:hAnsi="Calibri"/>
          <w:b/>
          <w:color w:val="525866"/>
          <w:sz w:val="22"/>
        </w:rPr>
        <w:t xml:space="preserve">Capital Deployment &amp; Shareholder Returns: </w:t>
      </w:r>
      <w:r>
        <w:rPr>
          <w:rFonts w:ascii="Calibri" w:hAnsi="Calibri"/>
          <w:color w:val="525866"/>
          <w:sz w:val="22"/>
        </w:rPr>
        <w:t>With ESR at 170–190% and $3.7B in cash/liquid assets, what is the updated capital deployment priority stack (buybacks, dividends, M&amp;A, Prismic)? Does the strategic update change the capital return framework?</w:t>
      </w:r>
    </w:p>
    <w:p>
      <w:pPr>
        <w:pStyle w:val="ListNumber"/>
        <w:ind w:left="360" w:hanging="360"/>
      </w:pPr>
      <w:r>
        <w:rPr>
          <w:rFonts w:ascii="Calibri" w:hAnsi="Calibri"/>
          <w:b/>
          <w:color w:val="525866"/>
          <w:sz w:val="22"/>
        </w:rPr>
        <w:t xml:space="preserve">Group Insurance Outlook: </w:t>
      </w:r>
      <w:r>
        <w:rPr>
          <w:rFonts w:ascii="Calibri" w:hAnsi="Calibri"/>
          <w:color w:val="525866"/>
          <w:sz w:val="22"/>
        </w:rPr>
        <w:t>How did Q2 disability incidence and severity track vs. Q1? Is the 83–87% benefits ratio target range still the right guide for FY2026, or is there upward pressure given the macro environment?</w:t>
      </w:r>
    </w:p>
    <w:p>
      <w:pPr>
        <w:pStyle w:val="ListNumber"/>
        <w:ind w:left="360" w:hanging="360"/>
      </w:pPr>
      <w:r>
        <w:rPr>
          <w:rFonts w:ascii="Calibri" w:hAnsi="Calibri"/>
          <w:b/>
          <w:color w:val="525866"/>
          <w:sz w:val="22"/>
        </w:rPr>
        <w:t xml:space="preserve">FY2026 EPS Bridge: </w:t>
      </w:r>
      <w:r>
        <w:rPr>
          <w:rFonts w:ascii="Calibri" w:hAnsi="Calibri"/>
          <w:color w:val="525866"/>
          <w:sz w:val="22"/>
        </w:rPr>
        <w:t>With the tax rate lowered to 21–22% and the Japan impact range unchanged, can management provide an updated FY2026 Core EPS bridge that reconciles the $525–$575M Japan drag against the tax tailwind and underlying business momentum?</w:t>
      </w:r>
    </w:p>
    <w:sectPr w:rsidR="00FC693F" w:rsidRPr="0006063C" w:rsidSect="00034616">
      <w:headerReference w:type="default" r:id="rId9"/>
      <w:footerReference w:type="default" r:id="rId10"/>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rPr>
        <w:rFonts w:ascii="Calibri" w:hAnsi="Calibri"/>
        <w:i/>
        <w:color w:val="525866"/>
        <w:sz w:val="20"/>
      </w:rPr>
      <w:t>We do the work, you make the call</w:t>
    </w:r>
    <w:r>
      <w:tab/>
    </w:r>
    <w:r>
      <w:rPr>
        <w:rFonts w:ascii="Calibri" w:hAnsi="Calibri"/>
        <w:i/>
        <w:color w:val="FB9120"/>
        <w:sz w:val="20"/>
      </w:rPr>
      <w:t>app.implied.com/trial</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drawing>
        <wp:inline xmlns:a="http://schemas.openxmlformats.org/drawingml/2006/main" xmlns:pic="http://schemas.openxmlformats.org/drawingml/2006/picture">
          <wp:extent cx="5486400" cy="274320"/>
          <wp:docPr id="1" name="Picture 1"/>
          <wp:cNvGraphicFramePr>
            <a:graphicFrameLocks noChangeAspect="1"/>
          </wp:cNvGraphicFramePr>
          <a:graphic>
            <a:graphicData uri="http://schemas.openxmlformats.org/drawingml/2006/picture">
              <pic:pic>
                <pic:nvPicPr>
                  <pic:cNvPr id="0" name="ImpliedPromotionalHeader.png"/>
                  <pic:cNvPicPr/>
                </pic:nvPicPr>
                <pic:blipFill>
                  <a:blip r:embed="rId1"/>
                  <a:stretch>
                    <a:fillRect/>
                  </a:stretch>
                </pic:blipFill>
                <pic:spPr>
                  <a:xfrm>
                    <a:off x="0" y="0"/>
                    <a:ext cx="5486400" cy="274320"/>
                  </a:xfrm>
                  <a:prstGeom prst="rect"/>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Calibri" w:hAnsi="Calibri"/>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rPr>
      <w:rFonts w:ascii="Calibri" w:hAnsi="Calibri"/>
      <w:sz w:val="22"/>
    </w:r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