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PSKY before writing the preview. Let me start by gathering documents, news, and price data.Let me read the most recent earnings materials and pull price data plus broader news context.I have strong fundamentals. Let me check the latest on the pivotal August 3 court hearing and the pro forma leverage picture.I have everything I need. Here's the earnings preview.</w:t>
      </w:r>
    </w:p>
    <w:p>
      <w:r>
        <w:pict>
          <v:rect style="width:0;height:1.5pt" o:hralign="center" o:hrstd="t" o:hr="t"/>
        </w:pict>
      </w:r>
    </w:p>
    <w:bookmarkStart w:id="18" w:name="X3d20da6c69609bcceda145700e61808a9b7f807"/>
    <w:p>
      <w:pPr>
        <w:pStyle w:val="Heading1"/>
      </w:pPr>
      <w:r>
        <w:t xml:space="preserve">Paramount Skydance (PSKY) — Q2 FY2026 Earnings Preview</w:t>
      </w:r>
    </w:p>
    <w:bookmarkStart w:id="9" w:name="Xfbf11f97ba3a760e5dd4b7cd230f46cbd3d981b"/>
    <w:p>
      <w:pPr>
        <w:pStyle w:val="Heading3"/>
      </w:pPr>
      <w:r>
        <w:t xml:space="preserve">Report date: Tuesday, August 4, 2026 (after the close) · 2026Q2 Earnings Call</w:t>
      </w:r>
    </w:p>
    <w:p>
      <w:r>
        <w:pict>
          <v:rect style="width:0;height:1.5pt" o:hralign="center" o:hrstd="t" o:hr="t"/>
        </w:pict>
      </w:r>
    </w:p>
    <w:bookmarkEnd w:id="9"/>
    <w:bookmarkStart w:id="10" w:name="the-one-sentence-setup"/>
    <w:p>
      <w:pPr>
        <w:pStyle w:val="Heading2"/>
      </w:pPr>
      <w:r>
        <w:t xml:space="preserve">The one-sentence setup</w:t>
      </w:r>
    </w:p>
    <w:p>
      <w:pPr>
        <w:pStyle w:val="FirstParagraph"/>
      </w:pPr>
      <w:r>
        <w:t xml:space="preserve">This is a quarter where the fundamentals are almost a sideshow: PSKY's story going into the print is dominated by its ~</w:t>
      </w:r>
      <m:oMath>
        <m:r>
          <m:t>97</m:t>
        </m:r>
        <m:r>
          <m:t>b</m:t>
        </m:r>
        <m:r>
          <m:t>i</m:t>
        </m:r>
        <m:r>
          <m:t>l</m:t>
        </m:r>
        <m:r>
          <m:t>l</m:t>
        </m:r>
        <m:r>
          <m:t>i</m:t>
        </m:r>
        <m:r>
          <m:t>o</m:t>
        </m:r>
        <m:r>
          <m:t>n</m:t>
        </m:r>
        <m:r>
          <m:t>c</m:t>
        </m:r>
        <m:r>
          <m:t>a</m:t>
        </m:r>
        <m:r>
          <m:t>s</m:t>
        </m:r>
        <m:r>
          <m:t>h</m:t>
        </m:r>
        <m:r>
          <m:rPr>
            <m:sty m:val="p"/>
          </m:rPr>
          <m:t>−</m:t>
        </m:r>
        <m:r>
          <m:t>a</m:t>
        </m:r>
        <m:r>
          <m:t>n</m:t>
        </m:r>
        <m:r>
          <m:t>d</m:t>
        </m:r>
        <m:r>
          <m:rPr>
            <m:sty m:val="p"/>
          </m:rPr>
          <m:t>−</m:t>
        </m:r>
        <m:r>
          <m:t>s</m:t>
        </m:r>
        <m:r>
          <m:t>t</m:t>
        </m:r>
        <m:r>
          <m:t>o</m:t>
        </m:r>
        <m:r>
          <m:t>c</m:t>
        </m:r>
        <m:r>
          <m:t>k</m:t>
        </m:r>
        <m:r>
          <m:t>a</m:t>
        </m:r>
        <m:r>
          <m:t>c</m:t>
        </m:r>
        <m:r>
          <m:t>q</m:t>
        </m:r>
        <m:r>
          <m:t>u</m:t>
        </m:r>
        <m:r>
          <m:t>i</m:t>
        </m:r>
        <m:r>
          <m:t>s</m:t>
        </m:r>
        <m:r>
          <m:t>i</m:t>
        </m:r>
        <m:r>
          <m:t>t</m:t>
        </m:r>
        <m:r>
          <m:t>i</m:t>
        </m:r>
        <m:r>
          <m:t>o</m:t>
        </m:r>
        <m:r>
          <m:t>n</m:t>
        </m:r>
        <m:r>
          <m:t>o</m:t>
        </m:r>
        <m:r>
          <m:t>f</m:t>
        </m:r>
        <m:r>
          <m:t>W</m:t>
        </m:r>
        <m:r>
          <m:t>a</m:t>
        </m:r>
        <m:r>
          <m:t>r</m:t>
        </m:r>
        <m:r>
          <m:t>n</m:t>
        </m:r>
        <m:r>
          <m:t>e</m:t>
        </m:r>
        <m:r>
          <m:t>r</m:t>
        </m:r>
        <m:r>
          <m:t>B</m:t>
        </m:r>
        <m:r>
          <m:t>r</m:t>
        </m:r>
        <m:r>
          <m:t>o</m:t>
        </m:r>
        <m:r>
          <m:t>s</m:t>
        </m:r>
        <m:r>
          <m:rPr>
            <m:sty m:val="p"/>
          </m:rPr>
          <m:t>.</m:t>
        </m:r>
        <m:r>
          <m:t>D</m:t>
        </m:r>
        <m:r>
          <m:t>i</m:t>
        </m:r>
        <m:r>
          <m:t>s</m:t>
        </m:r>
        <m:r>
          <m:t>c</m:t>
        </m:r>
        <m:r>
          <m:t>o</m:t>
        </m:r>
        <m:r>
          <m:t>v</m:t>
        </m:r>
        <m:r>
          <m:t>e</m:t>
        </m:r>
        <m:r>
          <m:t>r</m:t>
        </m:r>
        <m:r>
          <m:t>y</m:t>
        </m:r>
        <m:r>
          <m:rPr>
            <m:sty m:val="p"/>
          </m:rPr>
          <m:t>(</m:t>
        </m:r>
        <m:r>
          <m:t>W</m:t>
        </m:r>
        <m:r>
          <m:t>B</m:t>
        </m:r>
        <m:r>
          <m:t>D</m:t>
        </m:r>
        <m:r>
          <m:rPr>
            <m:sty m:val="p"/>
          </m:rPr>
          <m:t>)</m:t>
        </m:r>
        <m:r>
          <m:rPr>
            <m:sty m:val="p"/>
          </m:rPr>
          <m:t>—</m:t>
        </m:r>
        <m:r>
          <m:t>a</m:t>
        </m:r>
        <m:r>
          <m:t>d</m:t>
        </m:r>
        <m:r>
          <m:t>e</m:t>
        </m:r>
        <m:r>
          <m:t>a</m:t>
        </m:r>
        <m:r>
          <m:t>l</m:t>
        </m:r>
        <m:r>
          <m:t>t</m:t>
        </m:r>
        <m:r>
          <m:t>h</m:t>
        </m:r>
        <m:r>
          <m:t>a</m:t>
        </m:r>
        <m:r>
          <m:t>t</m:t>
        </m:r>
        <m:r>
          <m:t>a</m:t>
        </m:r>
        <m:r>
          <m:t>f</m:t>
        </m:r>
        <m:r>
          <m:t>e</m:t>
        </m:r>
        <m:r>
          <m:t>d</m:t>
        </m:r>
        <m:r>
          <m:t>e</m:t>
        </m:r>
        <m:r>
          <m:t>r</m:t>
        </m:r>
        <m:r>
          <m:t>a</m:t>
        </m:r>
        <m:r>
          <m:t>l</m:t>
        </m:r>
        <m:r>
          <m:t>c</m:t>
        </m:r>
        <m:r>
          <m:t>o</m:t>
        </m:r>
        <m:r>
          <m:t>u</m:t>
        </m:r>
        <m:r>
          <m:t>r</m:t>
        </m:r>
        <m:r>
          <m:t>t</m:t>
        </m:r>
        <m:r>
          <m:t>h</m:t>
        </m:r>
        <m:r>
          <m:t>a</m:t>
        </m:r>
        <m:r>
          <m:t>s</m:t>
        </m:r>
        <m:r>
          <m:t>t</m:t>
        </m:r>
        <m:r>
          <m:t>e</m:t>
        </m:r>
        <m:r>
          <m:t>m</m:t>
        </m:r>
        <m:r>
          <m:t>p</m:t>
        </m:r>
        <m:r>
          <m:t>o</m:t>
        </m:r>
        <m:r>
          <m:t>r</m:t>
        </m:r>
        <m:r>
          <m:t>a</m:t>
        </m:r>
        <m:r>
          <m:t>r</m:t>
        </m:r>
        <m:r>
          <m:t>i</m:t>
        </m:r>
        <m:r>
          <m:t>l</m:t>
        </m:r>
        <m:r>
          <m:t>y</m:t>
        </m:r>
        <m:r>
          <m:t>f</m:t>
        </m:r>
        <m:r>
          <m:t>r</m:t>
        </m:r>
        <m:r>
          <m:t>o</m:t>
        </m:r>
        <m:r>
          <m:t>z</m:t>
        </m:r>
        <m:r>
          <m:t>e</m:t>
        </m:r>
        <m:r>
          <m:t>n</m:t>
        </m:r>
        <m:r>
          <m:rPr>
            <m:sty m:val="p"/>
          </m:rPr>
          <m:t>,</m:t>
        </m:r>
        <m:r>
          <m:t>t</m:t>
        </m:r>
        <m:r>
          <m:t>h</m:t>
        </m:r>
        <m:r>
          <m:t>a</m:t>
        </m:r>
        <m:r>
          <m:t>t</m:t>
        </m:r>
        <m:r>
          <m:t>W</m:t>
        </m:r>
        <m:r>
          <m:t>a</m:t>
        </m:r>
        <m:r>
          <m:t>l</m:t>
        </m:r>
        <m:r>
          <m:t>l</m:t>
        </m:r>
        <m:r>
          <m:t>S</m:t>
        </m:r>
        <m:r>
          <m:t>t</m:t>
        </m:r>
        <m:r>
          <m:t>r</m:t>
        </m:r>
        <m:r>
          <m:t>e</m:t>
        </m:r>
        <m:r>
          <m:t>e</m:t>
        </m:r>
        <m:r>
          <m:t>t</m:t>
        </m:r>
        <m:r>
          <m:t>h</m:t>
        </m:r>
        <m:r>
          <m:t>a</m:t>
        </m:r>
        <m:r>
          <m:t>n</m:t>
        </m:r>
        <m:r>
          <m:t>d</m:t>
        </m:r>
        <m:r>
          <m:t>i</m:t>
        </m:r>
        <m:r>
          <m:t>c</m:t>
        </m:r>
        <m:r>
          <m:t>a</m:t>
        </m:r>
        <m:r>
          <m:t>p</m:t>
        </m:r>
        <m:r>
          <m:t>s</m:t>
        </m:r>
        <m:r>
          <m:t>a</m:t>
        </m:r>
        <m:r>
          <m:t>t</m:t>
        </m:r>
        <m:r>
          <m:t>r</m:t>
        </m:r>
        <m:r>
          <m:t>o</m:t>
        </m:r>
        <m:r>
          <m:t>u</m:t>
        </m:r>
        <m:r>
          <m:t>g</m:t>
        </m:r>
        <m:r>
          <m:t>h</m:t>
        </m:r>
        <m:r>
          <m:t>l</m:t>
        </m:r>
        <m:r>
          <m:t>y</m:t>
        </m:r>
        <m:r>
          <m:t>a</m:t>
        </m:r>
        <m:r>
          <m:t>c</m:t>
        </m:r>
        <m:r>
          <m:t>o</m:t>
        </m:r>
        <m:r>
          <m:t>i</m:t>
        </m:r>
        <m:r>
          <m:t>n</m:t>
        </m:r>
        <m:r>
          <m:t>f</m:t>
        </m:r>
        <m:r>
          <m:t>l</m:t>
        </m:r>
        <m:r>
          <m:t>i</m:t>
        </m:r>
        <m:r>
          <m:t>p</m:t>
        </m:r>
        <m:r>
          <m:rPr>
            <m:sty m:val="p"/>
          </m:rPr>
          <m:t>,</m:t>
        </m:r>
        <m:r>
          <m:t>a</m:t>
        </m:r>
        <m:r>
          <m:t>n</m:t>
        </m:r>
        <m:r>
          <m:t>d</m:t>
        </m:r>
        <m:r>
          <m:t>t</m:t>
        </m:r>
        <m:r>
          <m:t>h</m:t>
        </m:r>
        <m:r>
          <m:t>a</m:t>
        </m:r>
        <m:r>
          <m:t>t</m:t>
        </m:r>
        <m:r>
          <m:t>w</m:t>
        </m:r>
        <m:r>
          <m:t>o</m:t>
        </m:r>
        <m:r>
          <m:t>u</m:t>
        </m:r>
        <m:r>
          <m:t>l</m:t>
        </m:r>
        <m:r>
          <m:t>d</m:t>
        </m:r>
        <m:r>
          <m:t>s</m:t>
        </m:r>
        <m:r>
          <m:t>a</m:t>
        </m:r>
        <m:r>
          <m:t>d</m:t>
        </m:r>
        <m:r>
          <m:t>d</m:t>
        </m:r>
        <m:r>
          <m:t>l</m:t>
        </m:r>
        <m:r>
          <m:t>e</m:t>
        </m:r>
        <m:r>
          <m:t>t</m:t>
        </m:r>
        <m:r>
          <m:t>h</m:t>
        </m:r>
        <m:r>
          <m:t>e</m:t>
        </m:r>
        <m:r>
          <m:t>c</m:t>
        </m:r>
        <m:r>
          <m:t>o</m:t>
        </m:r>
        <m:r>
          <m:t>m</m:t>
        </m:r>
        <m:r>
          <m:t>b</m:t>
        </m:r>
        <m:r>
          <m:t>i</m:t>
        </m:r>
        <m:r>
          <m:t>n</m:t>
        </m:r>
        <m:r>
          <m:t>e</m:t>
        </m:r>
        <m:r>
          <m:t>d</m:t>
        </m:r>
        <m:r>
          <m:t>c</m:t>
        </m:r>
        <m:r>
          <m:t>o</m:t>
        </m:r>
        <m:r>
          <m:t>m</m:t>
        </m:r>
        <m:r>
          <m:t>p</m:t>
        </m:r>
        <m:r>
          <m:t>a</m:t>
        </m:r>
        <m:r>
          <m:t>n</m:t>
        </m:r>
        <m:r>
          <m:t>y</m:t>
        </m:r>
        <m:r>
          <m:t>w</m:t>
        </m:r>
        <m:r>
          <m:t>i</m:t>
        </m:r>
        <m:r>
          <m:t>t</m:t>
        </m:r>
        <m:r>
          <m:t>h</m:t>
        </m:r>
        <m:r>
          <m:t> </m:t>
        </m:r>
      </m:oMath>
      <w:r>
        <w:t xml:space="preserve">80 billion of debt. The standalone business is actually executing reasonably well; the equity is trading like the market is bracing for the deal's balance-sheet consequences (or its collapse).</w:t>
      </w:r>
    </w:p>
    <w:p>
      <w:r>
        <w:pict>
          <v:rect style="width:0;height:1.5pt" o:hralign="center" o:hrstd="t" o:hr="t"/>
        </w:pict>
      </w:r>
    </w:p>
    <w:bookmarkEnd w:id="10"/>
    <w:bookmarkStart w:id="11" w:name="Xc5ca7254b03ff3ccbaaa7284f1262dce4ed9b2e"/>
    <w:p>
      <w:pPr>
        <w:pStyle w:val="Heading2"/>
      </w:pPr>
      <w:r>
        <w:t xml:space="preserve">1. Where the stock sits going in</w:t>
      </w:r>
    </w:p>
    <w:p>
      <w:pPr>
        <w:pStyle w:val="FirstParagraph"/>
      </w:pPr>
      <w:r>
        <w:t xml:space="preserve">PSKY has been a persistent underperformer in 2026. Shares opened the year around</w:t>
      </w:r>
      <w:r>
        <w:t xml:space="preserve"> </w:t>
      </w:r>
      <m:oMath>
        <m:r>
          <m:t>13.18</m:t>
        </m:r>
        <m:r>
          <m:rPr>
            <m:sty m:val="p"/>
          </m:rPr>
          <m:t>*</m:t>
        </m:r>
        <m:r>
          <m:rPr>
            <m:sty m:val="p"/>
          </m:rPr>
          <m:t>*</m:t>
        </m:r>
        <m:r>
          <m:rPr>
            <m:sty m:val="p"/>
          </m:rPr>
          <m:t>,</m:t>
        </m:r>
        <m:r>
          <m:t>b</m:t>
        </m:r>
        <m:r>
          <m:t>r</m:t>
        </m:r>
        <m:r>
          <m:t>i</m:t>
        </m:r>
        <m:r>
          <m:t>e</m:t>
        </m:r>
        <m:r>
          <m:t>f</m:t>
        </m:r>
        <m:r>
          <m:t>l</m:t>
        </m:r>
        <m:r>
          <m:t>y</m:t>
        </m:r>
        <m:r>
          <m:t>s</m:t>
        </m:r>
        <m:r>
          <m:t>p</m:t>
        </m:r>
        <m:r>
          <m:t>i</m:t>
        </m:r>
        <m:r>
          <m:t>k</m:t>
        </m:r>
        <m:r>
          <m:t>e</m:t>
        </m:r>
        <m:r>
          <m:t>d</m:t>
        </m:r>
        <m:r>
          <m:t>t</m:t>
        </m:r>
        <m:r>
          <m:t>o</m:t>
        </m:r>
        <m:r>
          <m:rPr>
            <m:sty m:val="p"/>
          </m:rPr>
          <m:t>*</m:t>
        </m:r>
        <m:r>
          <m:rPr>
            <m:sty m:val="p"/>
          </m:rPr>
          <m:t>*</m:t>
        </m:r>
      </m:oMath>
      <w:r>
        <w:rPr>
          <w:b/>
          <w:bCs/>
        </w:rPr>
        <w:t xml:space="preserve">13.51</w:t>
      </w:r>
      <w:r>
        <w:t xml:space="preserve"> </w:t>
      </w:r>
      <w:r>
        <w:t xml:space="preserve">the day the WBD merger agreement was signed (Feb 27), and have bled steadily lower since — hitting a low of</w:t>
      </w:r>
      <w:r>
        <w:t xml:space="preserve"> </w:t>
      </w:r>
      <m:oMath>
        <m:r>
          <m:t>7.81</m:t>
        </m:r>
        <m:r>
          <m:rPr>
            <m:sty m:val="p"/>
          </m:rPr>
          <m:t>*</m:t>
        </m:r>
        <m:r>
          <m:rPr>
            <m:sty m:val="p"/>
          </m:rPr>
          <m:t>*</m:t>
        </m:r>
        <m:r>
          <m:t>o</m:t>
        </m:r>
        <m:r>
          <m:t>n</m:t>
        </m:r>
        <m:r>
          <m:t>J</m:t>
        </m:r>
        <m:r>
          <m:t>u</m:t>
        </m:r>
        <m:r>
          <m:t>l</m:t>
        </m:r>
        <m:r>
          <m:t>y</m:t>
        </m:r>
        <m:r>
          <m:t>30</m:t>
        </m:r>
        <m:r>
          <m:t>b</m:t>
        </m:r>
        <m:r>
          <m:t>e</m:t>
        </m:r>
        <m:r>
          <m:t>f</m:t>
        </m:r>
        <m:r>
          <m:t>o</m:t>
        </m:r>
        <m:r>
          <m:t>r</m:t>
        </m:r>
        <m:r>
          <m:t>e</m:t>
        </m:r>
        <m:r>
          <m:t>c</m:t>
        </m:r>
        <m:r>
          <m:t>l</m:t>
        </m:r>
        <m:r>
          <m:t>o</m:t>
        </m:r>
        <m:r>
          <m:t>s</m:t>
        </m:r>
        <m:r>
          <m:t>i</m:t>
        </m:r>
        <m:r>
          <m:t>n</m:t>
        </m:r>
        <m:r>
          <m:t>g</m:t>
        </m:r>
        <m:r>
          <m:t>a</m:t>
        </m:r>
        <m:r>
          <m:t>t</m:t>
        </m:r>
        <m:r>
          <m:rPr>
            <m:sty m:val="p"/>
          </m:rPr>
          <m:t>*</m:t>
        </m:r>
        <m:r>
          <m:rPr>
            <m:sty m:val="p"/>
          </m:rPr>
          <m:t>*</m:t>
        </m:r>
      </m:oMath>
      <w:r>
        <w:rPr>
          <w:b/>
          <w:bCs/>
        </w:rPr>
        <w:t xml:space="preserve">8.24</w:t>
      </w:r>
      <w:r>
        <w:t xml:space="preserve"> </w:t>
      </w:r>
      <w:r>
        <w:t xml:space="preserve">on Aug 3. That's roughly</w:t>
      </w:r>
      <w:r>
        <w:t xml:space="preserve"> </w:t>
      </w:r>
      <w:r>
        <w:rPr>
          <w:b/>
          <w:bCs/>
        </w:rPr>
        <w:t xml:space="preserve">‑37% year-to-date</w:t>
      </w:r>
      <w:r>
        <w:t xml:space="preserve">, with essentially the entire drawdown coinciding with the market digesting the WBD financing and leverage plan.</w:t>
      </w:r>
    </w:p>
    <w:p>
      <w:pPr>
        <w:pStyle w:val="BodyText"/>
      </w:pPr>
      <w:r>
        <w:t xml:space="preserve">The read-through: this weakness is</w:t>
      </w:r>
      <w:r>
        <w:t xml:space="preserve"> </w:t>
      </w:r>
      <w:r>
        <w:rPr>
          <w:i/>
          <w:iCs/>
        </w:rPr>
        <w:t xml:space="preserve">not</w:t>
      </w:r>
      <w:r>
        <w:t xml:space="preserve"> </w:t>
      </w:r>
      <w:r>
        <w:t xml:space="preserve">a referendum on operating results (Q1 actually beat). It reflects (a) dilution fears from a ~$47B equity raise priced at a</w:t>
      </w:r>
      <w:r>
        <w:t xml:space="preserve"> </w:t>
      </w:r>
      <m:oMath>
        <m:r>
          <m:t>12.00</m:t>
        </m:r>
        <m:r>
          <m:rPr>
            <m:sty m:val="p"/>
          </m:rPr>
          <m:t>–</m:t>
        </m:r>
      </m:oMath>
      <w:r>
        <w:t xml:space="preserve">16.02 collar, (b) pro-forma leverage anxiety, and (c) rising deal-completion risk. Note WBD trades around</w:t>
      </w:r>
      <w:r>
        <w:t xml:space="preserve"> </w:t>
      </w:r>
      <m:oMath>
        <m:r>
          <m:t>26</m:t>
        </m:r>
        <m:r>
          <m:rPr>
            <m:sty m:val="p"/>
          </m:rPr>
          <m:t>*</m:t>
        </m:r>
        <m:r>
          <m:rPr>
            <m:sty m:val="p"/>
          </m:rPr>
          <m:t>*</m:t>
        </m:r>
        <m:r>
          <m:rPr>
            <m:sty m:val="p"/>
          </m:rPr>
          <m:t>,</m:t>
        </m:r>
        <m:r>
          <m:t>w</m:t>
        </m:r>
        <m:r>
          <m:t>e</m:t>
        </m:r>
        <m:r>
          <m:t>l</m:t>
        </m:r>
        <m:r>
          <m:t>l</m:t>
        </m:r>
        <m:r>
          <m:t>b</m:t>
        </m:r>
        <m:r>
          <m:t>e</m:t>
        </m:r>
        <m:r>
          <m:t>l</m:t>
        </m:r>
        <m:r>
          <m:t>o</m:t>
        </m:r>
        <m:r>
          <m:t>w</m:t>
        </m:r>
        <m:r>
          <m:t>t</m:t>
        </m:r>
        <m:r>
          <m:t>h</m:t>
        </m:r>
        <m:r>
          <m:t>e</m:t>
        </m:r>
        <m:r>
          <m:rPr>
            <m:sty m:val="p"/>
          </m:rPr>
          <m:t>*</m:t>
        </m:r>
        <m:r>
          <m:rPr>
            <m:sty m:val="p"/>
          </m:rPr>
          <m:t>*</m:t>
        </m:r>
      </m:oMath>
      <w:r>
        <w:rPr>
          <w:b/>
          <w:bCs/>
        </w:rPr>
        <w:t xml:space="preserve">31/share</w:t>
      </w:r>
      <w:r>
        <w:t xml:space="preserve"> </w:t>
      </w:r>
      <w:r>
        <w:t xml:space="preserve">cash offer — the ~16-19% spread is the market telling you it does not fully believe this closes on the current terms/timeline.</w:t>
      </w:r>
    </w:p>
    <w:p>
      <w:r>
        <w:pict>
          <v:rect style="width:0;height:1.5pt" o:hralign="center" o:hrstd="t" o:hr="t"/>
        </w:pict>
      </w:r>
    </w:p>
    <w:bookmarkEnd w:id="11"/>
    <w:bookmarkStart w:id="12" w:name="X76e21b97ce773dd09ed5fb0a4a93fe3ce963f31"/>
    <w:p>
      <w:pPr>
        <w:pStyle w:val="Heading2"/>
      </w:pPr>
      <w:r>
        <w:t xml:space="preserve">2. What guidance implies for the print</w:t>
      </w:r>
    </w:p>
    <w:p>
      <w:pPr>
        <w:pStyle w:val="FirstParagraph"/>
      </w:pPr>
      <w:r>
        <w:t xml:space="preserve">Management gave explicit Q2 guidance on the Q1 call. Consensus is effectively anchored to 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Q2'26 Guidance</w:t>
            </w:r>
          </w:p>
        </w:tc>
        <w:tc>
          <w:tcPr/>
          <w:p>
            <w:pPr>
              <w:pStyle w:val="Compact"/>
            </w:pPr>
            <w:r>
              <w:t xml:space="preserve">vs. Q2'25 (predecessor)</w:t>
            </w:r>
          </w:p>
        </w:tc>
      </w:tr>
      <w:tr>
        <w:tc>
          <w:tcPr/>
          <w:p>
            <w:pPr>
              <w:pStyle w:val="Compact"/>
            </w:pPr>
            <w:r>
              <w:t xml:space="preserve">Total revenue</w:t>
            </w:r>
          </w:p>
        </w:tc>
        <w:tc>
          <w:tcPr/>
          <w:p>
            <w:pPr>
              <w:pStyle w:val="Compact"/>
            </w:pPr>
            <w:r>
              <w:rPr>
                <w:b/>
                <w:bCs/>
              </w:rPr>
              <w:t xml:space="preserve">$6.75B – $6.95B</w:t>
            </w:r>
          </w:p>
        </w:tc>
        <w:tc>
          <w:tcPr/>
          <w:p>
            <w:pPr>
              <w:pStyle w:val="Compact"/>
            </w:pPr>
            <w:r>
              <w:t xml:space="preserve">‑1% to +1% (Q2'25 = $6.849B)</w:t>
            </w:r>
          </w:p>
        </w:tc>
      </w:tr>
      <w:tr>
        <w:tc>
          <w:tcPr/>
          <w:p>
            <w:pPr>
              <w:pStyle w:val="Compact"/>
            </w:pPr>
            <w:r>
              <w:t xml:space="preserve">Adj. EBITDA</w:t>
            </w:r>
          </w:p>
        </w:tc>
        <w:tc>
          <w:tcPr/>
          <w:p>
            <w:pPr>
              <w:pStyle w:val="Compact"/>
            </w:pPr>
            <w:r>
              <w:rPr>
                <w:b/>
                <w:bCs/>
              </w:rPr>
              <w:t xml:space="preserve">$0.9B – $1.0B</w:t>
            </w:r>
          </w:p>
        </w:tc>
        <w:tc>
          <w:tcPr/>
          <w:p>
            <w:pPr>
              <w:pStyle w:val="Compact"/>
            </w:pPr>
            <w:r>
              <w:t xml:space="preserve">+4% to +16% (Q2'25 = $863M)</w:t>
            </w:r>
          </w:p>
        </w:tc>
      </w:tr>
      <w:tr>
        <w:tc>
          <w:tcPr/>
          <w:p>
            <w:pPr>
              <w:pStyle w:val="Compact"/>
            </w:pPr>
            <w:r>
              <w:t xml:space="preserve">Adj. EBITDA margin</w:t>
            </w:r>
          </w:p>
        </w:tc>
        <w:tc>
          <w:tcPr/>
          <w:p>
            <w:pPr>
              <w:pStyle w:val="Compact"/>
            </w:pPr>
            <w:r>
              <w:t xml:space="preserve">~13.9% at midpoint</w:t>
            </w:r>
          </w:p>
        </w:tc>
        <w:tc>
          <w:tcPr/>
          <w:p>
            <w:pPr>
              <w:pStyle w:val="Compact"/>
            </w:pPr>
            <w:r>
              <w:t xml:space="preserve">up from 12.6%</w:t>
            </w:r>
          </w:p>
        </w:tc>
      </w:tr>
      <w:tr>
        <w:tc>
          <w:tcPr/>
          <w:p>
            <w:pPr>
              <w:pStyle w:val="Compact"/>
            </w:pPr>
            <w:r>
              <w:t xml:space="preserve">Stock-based comp</w:t>
            </w:r>
          </w:p>
        </w:tc>
        <w:tc>
          <w:tcPr/>
          <w:p>
            <w:pPr>
              <w:pStyle w:val="Compact"/>
            </w:pPr>
            <w:r>
              <w:t xml:space="preserve">~$75M</w:t>
            </w:r>
          </w:p>
        </w:tc>
        <w:tc>
          <w:tcPr/>
          <w:p>
            <w:pPr>
              <w:pStyle w:val="Compact"/>
            </w:pPr>
            <w:r>
              <w:t xml:space="preserve">—</w:t>
            </w:r>
          </w:p>
        </w:tc>
      </w:tr>
    </w:tbl>
    <w:p>
      <w:pPr>
        <w:pStyle w:val="BodyText"/>
      </w:pPr>
      <w:r>
        <w:t xml:space="preserve">Full-year 2026 targets to keep in the back pocket:</w:t>
      </w:r>
      <w:r>
        <w:t xml:space="preserve"> </w:t>
      </w:r>
      <m:oMath>
        <m:r>
          <m:t>30</m:t>
        </m:r>
        <m:r>
          <m:t>B</m:t>
        </m:r>
        <m:r>
          <m:t>r</m:t>
        </m:r>
        <m:r>
          <m:t>e</m:t>
        </m:r>
        <m:r>
          <m:t>v</m:t>
        </m:r>
        <m:r>
          <m:t>e</m:t>
        </m:r>
        <m:r>
          <m:t>n</m:t>
        </m:r>
        <m:r>
          <m:t>u</m:t>
        </m:r>
        <m:r>
          <m:t>e</m:t>
        </m:r>
        <m:r>
          <m:rPr>
            <m:sty m:val="p"/>
          </m:rPr>
          <m:t>(</m:t>
        </m:r>
        <m:r>
          <m:rPr>
            <m:sty m:val="p"/>
          </m:rPr>
          <m:t>+</m:t>
        </m:r>
        <m:r>
          <m:t>4</m:t>
        </m:r>
      </m:oMath>
      <w:r>
        <w:rPr>
          <w:b/>
          <w:bCs/>
        </w:rPr>
        <w:t xml:space="preserve">3.8B adj. EBITDA (12.7% margin)</w:t>
      </w:r>
      <w:r>
        <w:t xml:space="preserve">, and FCF conversion of ~5%</w:t>
      </w:r>
      <w:r>
        <w:t xml:space="preserve"> </w:t>
      </w:r>
      <w:r>
        <w:rPr>
          <w:i/>
          <w:iCs/>
        </w:rPr>
        <w:t xml:space="preserve">before</w:t>
      </w:r>
      <w:r>
        <w:t xml:space="preserve"> </w:t>
      </w:r>
      <w:r>
        <w:t xml:space="preserve">~$800M of transformation costs.</w:t>
      </w:r>
    </w:p>
    <w:p>
      <w:pPr>
        <w:pStyle w:val="BodyText"/>
      </w:pPr>
      <w:r>
        <w:rPr>
          <w:b/>
          <w:bCs/>
        </w:rPr>
        <w:t xml:space="preserve">Things that make Q2 a softer-looking quarter by design:</w:t>
      </w:r>
    </w:p>
    <w:p>
      <w:pPr>
        <w:pStyle w:val="Compact"/>
        <w:numPr>
          <w:ilvl w:val="0"/>
          <w:numId w:val="1001"/>
        </w:numPr>
      </w:pPr>
      <w:r>
        <w:t xml:space="preserve">A tough theatrical comp — Q2'25 included</w:t>
      </w:r>
      <w:r>
        <w:t xml:space="preserve"> </w:t>
      </w:r>
      <w:r>
        <w:rPr>
          <w:i/>
          <w:iCs/>
        </w:rPr>
        <w:t xml:space="preserve">Mission: Impossible — The Final Reckoning</w:t>
      </w:r>
      <w:r>
        <w:t xml:space="preserve">.</w:t>
      </w:r>
    </w:p>
    <w:p>
      <w:pPr>
        <w:pStyle w:val="Compact"/>
        <w:numPr>
          <w:ilvl w:val="0"/>
          <w:numId w:val="1001"/>
        </w:numPr>
      </w:pPr>
      <w:r>
        <w:t xml:space="preserve">Ad revenue decelerates as they lap the NCAA Final Four/Championship.</w:t>
      </w:r>
    </w:p>
    <w:p>
      <w:pPr>
        <w:pStyle w:val="Compact"/>
        <w:numPr>
          <w:ilvl w:val="0"/>
          <w:numId w:val="1001"/>
        </w:numPr>
      </w:pPr>
      <w:r>
        <w:t xml:space="preserve">Paramount+ net subs will again look "flattish" QoQ because of the strategic exit of ~2 million international hard-bundle subscribers (a deliberate quality-over-quantity move, not underlying weakness). Watch for management to re-frame this around</w:t>
      </w:r>
      <w:r>
        <w:t xml:space="preserve"> </w:t>
      </w:r>
      <w:r>
        <w:rPr>
          <w:i/>
          <w:iCs/>
        </w:rPr>
        <w:t xml:space="preserve">underlying</w:t>
      </w:r>
      <w:r>
        <w:t xml:space="preserve"> </w:t>
      </w:r>
      <w:r>
        <w:t xml:space="preserve">net adds and ARPU.</w:t>
      </w:r>
    </w:p>
    <w:p>
      <w:pPr>
        <w:pStyle w:val="Compact"/>
        <w:numPr>
          <w:ilvl w:val="0"/>
          <w:numId w:val="1001"/>
        </w:numPr>
      </w:pPr>
      <w:r>
        <w:t xml:space="preserve">Management flagged that profitability skews to the first half of the year, so a QoQ step-down from Q1's very strong $1.16B adj. EBITDA is expected and shouldn't be misread.</w:t>
      </w:r>
    </w:p>
    <w:p>
      <w:pPr>
        <w:pStyle w:val="FirstParagraph"/>
      </w:pPr>
      <w:r>
        <w:rPr>
          <w:b/>
          <w:bCs/>
        </w:rPr>
        <w:t xml:space="preserve">Bottom line for the numbers:</w:t>
      </w:r>
      <w:r>
        <w:t xml:space="preserve"> </w:t>
      </w:r>
      <w:r>
        <w:t xml:space="preserve">the bar is set. The debate will be about the</w:t>
      </w:r>
      <w:r>
        <w:t xml:space="preserve"> </w:t>
      </w:r>
      <w:r>
        <w:rPr>
          <w:i/>
          <w:iCs/>
        </w:rPr>
        <w:t xml:space="preserve">quality</w:t>
      </w:r>
      <w:r>
        <w:t xml:space="preserve"> </w:t>
      </w:r>
      <w:r>
        <w:t xml:space="preserve">of the DTC ramp (subscription + advertising growth ex-Showtime) and whether the $3B+ efficiency program keeps flowing through to margins, more than about a revenue beat/miss of a few points.</w:t>
      </w:r>
    </w:p>
    <w:p>
      <w:r>
        <w:pict>
          <v:rect style="width:0;height:1.5pt" o:hralign="center" o:hrstd="t" o:hr="t"/>
        </w:pict>
      </w:r>
    </w:p>
    <w:bookmarkEnd w:id="12"/>
    <w:bookmarkStart w:id="13" w:name="Xad8c2d802202c1103ab7708de3a0e168029529f"/>
    <w:p>
      <w:pPr>
        <w:pStyle w:val="Heading2"/>
      </w:pPr>
      <w:r>
        <w:t xml:space="preserve">3. Segment scorecard — what "good" looks like</w:t>
      </w:r>
    </w:p>
    <w:p>
      <w:pPr>
        <w:pStyle w:val="FirstParagraph"/>
      </w:pPr>
      <w:r>
        <w:t xml:space="preserve">Recall the new three-segment structure (Studios / Direct-to-Consumer / TV Media) with recast comparatives. Q1'26 was the reference point:</w:t>
      </w:r>
    </w:p>
    <w:p>
      <w:pPr>
        <w:pStyle w:val="Compact"/>
        <w:numPr>
          <w:ilvl w:val="0"/>
          <w:numId w:val="1002"/>
        </w:numPr>
      </w:pPr>
      <w:r>
        <w:rPr>
          <w:b/>
          <w:bCs/>
        </w:rPr>
        <w:t xml:space="preserve">Direct-to-Consumer (~$2.4B rev, +11% in Q1; $251M EBITDA / 10% margin):</w:t>
      </w:r>
      <w:r>
        <w:t xml:space="preserve"> </w:t>
      </w:r>
      <w:r>
        <w:t xml:space="preserve">The engine. Paramount+ grew revenue 17% on 14% ARPU growth. Watch: continued DTC margin expansion YoY, the mid-year streaming tech-stack convergence launch, the Pluto TV rebuild, and early UFC monetization (10M+ households, and new subs skewing ~15 years younger). Any sign the January price increases are hurting churn would be a negative surprise.</w:t>
      </w:r>
    </w:p>
    <w:p>
      <w:pPr>
        <w:pStyle w:val="Compact"/>
        <w:numPr>
          <w:ilvl w:val="0"/>
          <w:numId w:val="1002"/>
        </w:numPr>
      </w:pPr>
      <w:r>
        <w:rPr>
          <w:b/>
          <w:bCs/>
        </w:rPr>
        <w:t xml:space="preserve">Studios (~$1.3B rev, +11% in Q1; $164M EBITDA):</w:t>
      </w:r>
      <w:r>
        <w:t xml:space="preserve"> </w:t>
      </w:r>
      <w:r>
        <w:t xml:space="preserve">Lumpier. Q1 benefited from</w:t>
      </w:r>
      <w:r>
        <w:t xml:space="preserve"> </w:t>
      </w:r>
      <w:r>
        <w:rPr>
          <w:i/>
          <w:iCs/>
        </w:rPr>
        <w:t xml:space="preserve">Scream 7</w:t>
      </w:r>
      <w:r>
        <w:t xml:space="preserve"> </w:t>
      </w:r>
      <w:r>
        <w:t xml:space="preserve">and Skydance licensing consolidation. Full-year guide is for</w:t>
      </w:r>
      <w:r>
        <w:t xml:space="preserve"> </w:t>
      </w:r>
      <w:r>
        <w:rPr>
          <w:i/>
          <w:iCs/>
        </w:rPr>
        <w:t xml:space="preserve">lower</w:t>
      </w:r>
      <w:r>
        <w:t xml:space="preserve"> </w:t>
      </w:r>
      <w:r>
        <w:t xml:space="preserve">theatrical revenue (more films, lower average box office per film as they rebuild the 2027+ slate) but higher licensing. Don't overreact to a weak theatrical Q2 — it's telegraphed.</w:t>
      </w:r>
    </w:p>
    <w:p>
      <w:pPr>
        <w:pStyle w:val="Compact"/>
        <w:numPr>
          <w:ilvl w:val="0"/>
          <w:numId w:val="1002"/>
        </w:numPr>
      </w:pPr>
      <w:r>
        <w:rPr>
          <w:b/>
          <w:bCs/>
        </w:rPr>
        <w:t xml:space="preserve">TV Media (~$3.7B rev, ‑6% in Q1; $1.1B EBITDA / 29% margin):</w:t>
      </w:r>
      <w:r>
        <w:t xml:space="preserve"> </w:t>
      </w:r>
      <w:r>
        <w:t xml:space="preserve">The melting ice cube that's still the cash cow. The story here is cost discipline more than offsetting secular affiliate/advertising declines — Q1 margin actually</w:t>
      </w:r>
      <w:r>
        <w:t xml:space="preserve"> </w:t>
      </w:r>
      <w:r>
        <w:rPr>
          <w:i/>
          <w:iCs/>
        </w:rPr>
        <w:t xml:space="preserve">expanded</w:t>
      </w:r>
      <w:r>
        <w:t xml:space="preserve"> </w:t>
      </w:r>
      <w:r>
        <w:t xml:space="preserve">to 29% from 24%. Watch affiliate erosion pace and whether political ad dollars are showing up.</w:t>
      </w:r>
    </w:p>
    <w:p>
      <w:r>
        <w:pict>
          <v:rect style="width:0;height:1.5pt" o:hralign="center" o:hrstd="t" o:hr="t"/>
        </w:pict>
      </w:r>
    </w:p>
    <w:bookmarkEnd w:id="13"/>
    <w:bookmarkStart w:id="14" w:name="Xcfbca87b8fc11e3037ad4cd53c32bfd50a2c586"/>
    <w:p>
      <w:pPr>
        <w:pStyle w:val="Heading2"/>
      </w:pPr>
      <w:r>
        <w:t xml:space="preserve">4. The main event: the WBD acquisition</w:t>
      </w:r>
    </w:p>
    <w:p>
      <w:pPr>
        <w:pStyle w:val="FirstParagraph"/>
      </w:pPr>
      <w:r>
        <w:t xml:space="preserve">This is what will drive the stock and dominate the Q&amp;A. Key facts an investor must hold:</w:t>
      </w:r>
    </w:p>
    <w:p>
      <w:pPr>
        <w:pStyle w:val="BodyText"/>
      </w:pPr>
      <w:r>
        <w:rPr>
          <w:b/>
          <w:bCs/>
        </w:rPr>
        <w:t xml:space="preserve">Structure &amp; price</w:t>
      </w:r>
    </w:p>
    <w:p>
      <w:pPr>
        <w:pStyle w:val="Compact"/>
        <w:numPr>
          <w:ilvl w:val="0"/>
          <w:numId w:val="1003"/>
        </w:numPr>
      </w:pPr>
      <m:oMath>
        <m:r>
          <m:t>31.00</m:t>
        </m:r>
        <m:r>
          <m:rPr>
            <m:sty m:val="p"/>
          </m:rPr>
          <m:t>/</m:t>
        </m:r>
        <m:r>
          <m:t>s</m:t>
        </m:r>
        <m:r>
          <m:t>h</m:t>
        </m:r>
        <m:r>
          <m:t>a</m:t>
        </m:r>
        <m:r>
          <m:t>r</m:t>
        </m:r>
        <m:r>
          <m:t>e</m:t>
        </m:r>
        <m:r>
          <m:t>i</m:t>
        </m:r>
        <m:r>
          <m:t>n</m:t>
        </m:r>
        <m:r>
          <m:t>c</m:t>
        </m:r>
        <m:r>
          <m:t>a</m:t>
        </m:r>
        <m:r>
          <m:t>s</m:t>
        </m:r>
        <m:r>
          <m:t>h</m:t>
        </m:r>
        <m:r>
          <m:t>f</m:t>
        </m:r>
        <m:r>
          <m:t>o</m:t>
        </m:r>
        <m:r>
          <m:t>r</m:t>
        </m:r>
        <m:r>
          <m:t>W</m:t>
        </m:r>
        <m:r>
          <m:t>B</m:t>
        </m:r>
        <m:r>
          <m:t>D</m:t>
        </m:r>
        <m:r>
          <m:rPr>
            <m:sty m:val="p"/>
          </m:rPr>
          <m:t>(</m:t>
        </m:r>
        <m:r>
          <m:t> </m:t>
        </m:r>
      </m:oMath>
      <w:r>
        <w:t xml:space="preserve">77.8B to shareholders; ~$97.3B total consideration including debt settlement and equity awards).</w:t>
      </w:r>
    </w:p>
    <w:p>
      <w:pPr>
        <w:pStyle w:val="Compact"/>
        <w:numPr>
          <w:ilvl w:val="0"/>
          <w:numId w:val="1003"/>
        </w:numPr>
      </w:pPr>
      <w:r>
        <w:t xml:space="preserve">A "ticking fee" of ~$0.00278/share/day kicks in if the deal closes after Sept 30, 2026 (capped at $0.25 per 90 days) — a small but telling nod to timeline risk.</w:t>
      </w:r>
    </w:p>
    <w:p>
      <w:pPr>
        <w:pStyle w:val="FirstParagraph"/>
      </w:pPr>
      <w:r>
        <w:rPr>
          <w:b/>
          <w:bCs/>
        </w:rPr>
        <w:t xml:space="preserve">How it's financed (and why the stock is under pressure)</w:t>
      </w:r>
    </w:p>
    <w:p>
      <w:pPr>
        <w:pStyle w:val="Compact"/>
        <w:numPr>
          <w:ilvl w:val="0"/>
          <w:numId w:val="1004"/>
        </w:numPr>
      </w:pPr>
      <w:r>
        <w:rPr>
          <w:b/>
          <w:bCs/>
        </w:rPr>
        <w:t xml:space="preserve">Equity:</w:t>
      </w:r>
      <w:r>
        <w:t xml:space="preserve"> </w:t>
      </w:r>
      <w:r>
        <w:t xml:space="preserve">~$46.7B PIPE from the Lawrence J. Ellison Revocable Trust plus</w:t>
      </w:r>
      <w:r>
        <w:t xml:space="preserve"> </w:t>
      </w:r>
      <m:oMath>
        <m:r>
          <m:t>250</m:t>
        </m:r>
        <m:r>
          <m:t>M</m:t>
        </m:r>
        <m:r>
          <m:t>f</m:t>
        </m:r>
        <m:r>
          <m:t>r</m:t>
        </m:r>
        <m:r>
          <m:t>o</m:t>
        </m:r>
        <m:r>
          <m:t>m</m:t>
        </m:r>
        <m:r>
          <m:t>R</m:t>
        </m:r>
        <m:r>
          <m:t>e</m:t>
        </m:r>
        <m:r>
          <m:t>d</m:t>
        </m:r>
        <m:r>
          <m:t>B</m:t>
        </m:r>
        <m:r>
          <m:t>i</m:t>
        </m:r>
        <m:r>
          <m:t>r</m:t>
        </m:r>
        <m:r>
          <m:t>d</m:t>
        </m:r>
        <m:r>
          <m:rPr>
            <m:sty m:val="p"/>
          </m:rPr>
          <m:t>,</m:t>
        </m:r>
        <m:r>
          <m:t>s</m:t>
        </m:r>
        <m:r>
          <m:t>y</m:t>
        </m:r>
        <m:r>
          <m:t>n</m:t>
        </m:r>
        <m:r>
          <m:t>d</m:t>
        </m:r>
        <m:r>
          <m:t>i</m:t>
        </m:r>
        <m:r>
          <m:t>c</m:t>
        </m:r>
        <m:r>
          <m:t>a</m:t>
        </m:r>
        <m:r>
          <m:t>t</m:t>
        </m:r>
        <m:r>
          <m:t>e</m:t>
        </m:r>
        <m:r>
          <m:t>d</m:t>
        </m:r>
        <m:r>
          <m:t>t</m:t>
        </m:r>
        <m:r>
          <m:t>o</m:t>
        </m:r>
        <m:r>
          <m:t>a</m:t>
        </m:r>
        <m:r>
          <m:t>m</m:t>
        </m:r>
        <m:r>
          <m:t>a</m:t>
        </m:r>
        <m:r>
          <m:t>r</m:t>
        </m:r>
        <m:r>
          <m:t>q</m:t>
        </m:r>
        <m:r>
          <m:t>u</m:t>
        </m:r>
        <m:r>
          <m:t>e</m:t>
        </m:r>
        <m:r>
          <m:t>e</m:t>
        </m:r>
        <m:r>
          <m:t>s</m:t>
        </m:r>
        <m:r>
          <m:t>o</m:t>
        </m:r>
        <m:r>
          <m:t>v</m:t>
        </m:r>
        <m:r>
          <m:t>e</m:t>
        </m:r>
        <m:r>
          <m:t>r</m:t>
        </m:r>
        <m:r>
          <m:t>e</m:t>
        </m:r>
        <m:r>
          <m:t>i</m:t>
        </m:r>
        <m:r>
          <m:t>g</m:t>
        </m:r>
        <m:r>
          <m:t>n</m:t>
        </m:r>
        <m:r>
          <m:rPr>
            <m:sty m:val="p"/>
          </m:rPr>
          <m:t>/</m:t>
        </m:r>
        <m:r>
          <m:t>i</m:t>
        </m:r>
        <m:r>
          <m:t>n</m:t>
        </m:r>
        <m:r>
          <m:t>s</m:t>
        </m:r>
        <m:r>
          <m:t>t</m:t>
        </m:r>
        <m:r>
          <m:t>i</m:t>
        </m:r>
        <m:r>
          <m:t>t</m:t>
        </m:r>
        <m:r>
          <m:t>u</m:t>
        </m:r>
        <m:r>
          <m:t>t</m:t>
        </m:r>
        <m:r>
          <m:t>i</m:t>
        </m:r>
        <m:r>
          <m:t>o</m:t>
        </m:r>
        <m:r>
          <m:t>n</m:t>
        </m:r>
        <m:r>
          <m:t>a</m:t>
        </m:r>
        <m:r>
          <m:t>l</m:t>
        </m:r>
        <m:r>
          <m:t>g</m:t>
        </m:r>
        <m:r>
          <m:t>r</m:t>
        </m:r>
        <m:r>
          <m:t>o</m:t>
        </m:r>
        <m:r>
          <m:t>u</m:t>
        </m:r>
        <m:r>
          <m:t>p</m:t>
        </m:r>
        <m:r>
          <m:rPr>
            <m:sty m:val="p"/>
          </m:rPr>
          <m:t>—</m:t>
        </m:r>
        <m:r>
          <m:t>t</m:t>
        </m:r>
        <m:r>
          <m:t>h</m:t>
        </m:r>
        <m:r>
          <m:t>e</m:t>
        </m:r>
        <m:r>
          <m:t>S</m:t>
        </m:r>
        <m:r>
          <m:t>a</m:t>
        </m:r>
        <m:r>
          <m:t>u</m:t>
        </m:r>
        <m:r>
          <m:t>d</m:t>
        </m:r>
        <m:r>
          <m:t>i</m:t>
        </m:r>
        <m:r>
          <m:t>P</m:t>
        </m:r>
        <m:r>
          <m:t>I</m:t>
        </m:r>
        <m:r>
          <m:t>F</m:t>
        </m:r>
        <m:r>
          <m:rPr>
            <m:sty m:val="p"/>
          </m:rPr>
          <m:t>,</m:t>
        </m:r>
        <m:r>
          <m:t>A</m:t>
        </m:r>
        <m:r>
          <m:t>b</m:t>
        </m:r>
        <m:r>
          <m:t>u</m:t>
        </m:r>
        <m:r>
          <m:t>D</m:t>
        </m:r>
        <m:r>
          <m:t>h</m:t>
        </m:r>
        <m:r>
          <m:t>a</m:t>
        </m:r>
        <m:r>
          <m:t>b</m:t>
        </m:r>
        <m:sSup>
          <m:e>
            <m:r>
              <m:t>i</m:t>
            </m:r>
          </m:e>
          <m:sup>
            <m:r>
              <m:rPr>
                <m:sty m:val="p"/>
              </m:rPr>
              <m:t>′</m:t>
            </m:r>
          </m:sup>
        </m:sSup>
        <m:r>
          <m:t>s</m:t>
        </m:r>
        <m:sSup>
          <m:e>
            <m:r>
              <m:t>L</m:t>
            </m:r>
          </m:e>
          <m:sup>
            <m:r>
              <m:rPr>
                <m:sty m:val="p"/>
              </m:rPr>
              <m:t>′</m:t>
            </m:r>
          </m:sup>
        </m:sSup>
        <m:r>
          <m:t>I</m:t>
        </m:r>
        <m:r>
          <m:t>m</m:t>
        </m:r>
        <m:r>
          <m:t>a</m:t>
        </m:r>
        <m:r>
          <m:t>d</m:t>
        </m:r>
        <m:r>
          <m:rPr>
            <m:sty m:val="p"/>
          </m:rPr>
          <m:t>,</m:t>
        </m:r>
        <m:r>
          <m:t>Q</m:t>
        </m:r>
        <m:r>
          <m:t>a</m:t>
        </m:r>
        <m:r>
          <m:t>t</m:t>
        </m:r>
        <m:r>
          <m:t>a</m:t>
        </m:r>
        <m:sSup>
          <m:e>
            <m:r>
              <m:t>r</m:t>
            </m:r>
          </m:e>
          <m:sup>
            <m:r>
              <m:rPr>
                <m:sty m:val="p"/>
              </m:rPr>
              <m:t>′</m:t>
            </m:r>
          </m:sup>
        </m:sSup>
        <m:r>
          <m:t>s</m:t>
        </m:r>
        <m:r>
          <m:t>Q</m:t>
        </m:r>
        <m:r>
          <m:t>I</m:t>
        </m:r>
        <m:r>
          <m:t>A</m:t>
        </m:r>
        <m:r>
          <m:rPr>
            <m:sty m:val="p"/>
          </m:rPr>
          <m:t>,</m:t>
        </m:r>
        <m:r>
          <m:t>a</m:t>
        </m:r>
        <m:r>
          <m:t>n</m:t>
        </m:r>
        <m:r>
          <m:t>d</m:t>
        </m:r>
        <m:r>
          <m:t>L</m:t>
        </m:r>
        <m:r>
          <m:t>i</m:t>
        </m:r>
        <m:r>
          <m:t>o</m:t>
        </m:r>
        <m:r>
          <m:t>n</m:t>
        </m:r>
        <m:r>
          <m:t>T</m:t>
        </m:r>
        <m:r>
          <m:t>r</m:t>
        </m:r>
        <m:r>
          <m:t>e</m:t>
        </m:r>
        <m:r>
          <m:t>e</m:t>
        </m:r>
        <m:r>
          <m:rPr>
            <m:sty m:val="p"/>
          </m:rPr>
          <m:t>.</m:t>
        </m:r>
        <m:r>
          <m:t>T</m:t>
        </m:r>
        <m:r>
          <m:t>h</m:t>
        </m:r>
        <m:r>
          <m:t>e</m:t>
        </m:r>
        <m:r>
          <m:t>s</m:t>
        </m:r>
        <m:r>
          <m:t>y</m:t>
        </m:r>
        <m:r>
          <m:t>n</m:t>
        </m:r>
        <m:r>
          <m:t>d</m:t>
        </m:r>
        <m:r>
          <m:t>i</m:t>
        </m:r>
        <m:r>
          <m:t>c</m:t>
        </m:r>
        <m:r>
          <m:t>a</m:t>
        </m:r>
        <m:r>
          <m:t>t</m:t>
        </m:r>
        <m:r>
          <m:t>i</m:t>
        </m:r>
        <m:r>
          <m:t>o</m:t>
        </m:r>
        <m:r>
          <m:t>n</m:t>
        </m:r>
        <m:r>
          <m:t>p</m:t>
        </m:r>
        <m:r>
          <m:t>r</m:t>
        </m:r>
        <m:r>
          <m:t>i</m:t>
        </m:r>
        <m:r>
          <m:t>c</m:t>
        </m:r>
        <m:r>
          <m:t>e</m:t>
        </m:r>
        <m:r>
          <m:t>c</m:t>
        </m:r>
        <m:r>
          <m:t>o</m:t>
        </m:r>
        <m:r>
          <m:t>l</m:t>
        </m:r>
        <m:r>
          <m:t>l</m:t>
        </m:r>
        <m:r>
          <m:t>a</m:t>
        </m:r>
        <m:r>
          <m:t>r</m:t>
        </m:r>
        <m:r>
          <m:t>i</m:t>
        </m:r>
        <m:r>
          <m:t>s</m:t>
        </m:r>
        <m:r>
          <m:rPr>
            <m:sty m:val="p"/>
          </m:rPr>
          <m:t>*</m:t>
        </m:r>
        <m:r>
          <m:rPr>
            <m:sty m:val="p"/>
          </m:rPr>
          <m:t>*</m:t>
        </m:r>
      </m:oMath>
      <w:r>
        <w:t xml:space="preserve">12.00 floor /</w:t>
      </w:r>
      <w:r>
        <w:t xml:space="preserve"> </w:t>
      </w:r>
      <m:oMath>
        <m:r>
          <m:t>16.02</m:t>
        </m:r>
        <m:r>
          <m:t>c</m:t>
        </m:r>
        <m:r>
          <m:t>a</m:t>
        </m:r>
        <m:r>
          <m:t>p</m:t>
        </m:r>
        <m:r>
          <m:rPr>
            <m:sty m:val="p"/>
          </m:rPr>
          <m:t>*</m:t>
        </m:r>
        <m:r>
          <m:rPr>
            <m:sty m:val="p"/>
          </m:rPr>
          <m:t>*</m:t>
        </m:r>
        <m:r>
          <m:rPr>
            <m:sty m:val="p"/>
          </m:rPr>
          <m:t>.</m:t>
        </m:r>
        <m:r>
          <m:t>W</m:t>
        </m:r>
        <m:r>
          <m:t>i</m:t>
        </m:r>
        <m:r>
          <m:t>t</m:t>
        </m:r>
        <m:r>
          <m:t>h</m:t>
        </m:r>
        <m:r>
          <m:t>t</m:t>
        </m:r>
        <m:r>
          <m:t>h</m:t>
        </m:r>
        <m:r>
          <m:t>e</m:t>
        </m:r>
        <m:r>
          <m:t>s</m:t>
        </m:r>
        <m:r>
          <m:t>t</m:t>
        </m:r>
        <m:r>
          <m:t>o</m:t>
        </m:r>
        <m:r>
          <m:t>c</m:t>
        </m:r>
        <m:r>
          <m:t>k</m:t>
        </m:r>
        <m:r>
          <m:t>a</m:t>
        </m:r>
        <m:r>
          <m:t>t</m:t>
        </m:r>
        <m:r>
          <m:t> </m:t>
        </m:r>
      </m:oMath>
      <w:r>
        <w:t xml:space="preserve">8, pricing sits at the floor, meaning **~3.9 billion new Class B shares** — a roughly 4x increase in the share count from ~1.1B today. That is the dilution overhang in one number.</w:t>
      </w:r>
    </w:p>
    <w:p>
      <w:pPr>
        <w:pStyle w:val="Compact"/>
        <w:numPr>
          <w:ilvl w:val="0"/>
          <w:numId w:val="1004"/>
        </w:numPr>
      </w:pPr>
      <w:r>
        <w:rPr>
          <w:b/>
          <w:bCs/>
        </w:rPr>
        <w:t xml:space="preserve">Debt:</w:t>
      </w:r>
      <w:r>
        <w:t xml:space="preserve"> </w:t>
      </w:r>
      <w:r>
        <w:t xml:space="preserve">$5B term loans + up to $51.9B of "New Permanent Financing" + a</w:t>
      </w:r>
      <w:r>
        <w:t xml:space="preserve"> </w:t>
      </w:r>
      <m:oMath>
        <m:r>
          <m:t>49</m:t>
        </m:r>
        <m:r>
          <m:t>B</m:t>
        </m:r>
        <m:r>
          <m:t>b</m:t>
        </m:r>
        <m:r>
          <m:t>r</m:t>
        </m:r>
        <m:r>
          <m:t>i</m:t>
        </m:r>
        <m:r>
          <m:t>d</m:t>
        </m:r>
        <m:r>
          <m:t>g</m:t>
        </m:r>
        <m:r>
          <m:t>e</m:t>
        </m:r>
        <m:r>
          <m:t>b</m:t>
        </m:r>
        <m:r>
          <m:t>a</m:t>
        </m:r>
        <m:r>
          <m:t>c</m:t>
        </m:r>
        <m:r>
          <m:t>k</m:t>
        </m:r>
        <m:r>
          <m:t>s</m:t>
        </m:r>
        <m:r>
          <m:t>t</m:t>
        </m:r>
        <m:r>
          <m:t>o</m:t>
        </m:r>
        <m:r>
          <m:t>p</m:t>
        </m:r>
        <m:r>
          <m:rPr>
            <m:sty m:val="p"/>
          </m:rPr>
          <m:t>,</m:t>
        </m:r>
        <m:r>
          <m:t>p</m:t>
        </m:r>
        <m:r>
          <m:t>l</m:t>
        </m:r>
        <m:r>
          <m:t>u</m:t>
        </m:r>
        <m:r>
          <m:t>s</m:t>
        </m:r>
        <m:r>
          <m:t>e</m:t>
        </m:r>
        <m:r>
          <m:t>x</m:t>
        </m:r>
        <m:r>
          <m:t>c</m:t>
        </m:r>
        <m:r>
          <m:t>h</m:t>
        </m:r>
        <m:r>
          <m:t>a</m:t>
        </m:r>
        <m:r>
          <m:t>n</m:t>
        </m:r>
        <m:r>
          <m:t>g</m:t>
        </m:r>
        <m:r>
          <m:t>e</m:t>
        </m:r>
        <m:r>
          <m:t>o</m:t>
        </m:r>
        <m:r>
          <m:t>f</m:t>
        </m:r>
        <m:r>
          <m:t>f</m:t>
        </m:r>
        <m:r>
          <m:t>e</m:t>
        </m:r>
        <m:r>
          <m:t>r</m:t>
        </m:r>
        <m:r>
          <m:t>s</m:t>
        </m:r>
        <m:r>
          <m:t>c</m:t>
        </m:r>
        <m:r>
          <m:t>o</m:t>
        </m:r>
        <m:r>
          <m:t>n</m:t>
        </m:r>
        <m:r>
          <m:t>v</m:t>
        </m:r>
        <m:r>
          <m:t>e</m:t>
        </m:r>
        <m:r>
          <m:t>r</m:t>
        </m:r>
        <m:r>
          <m:t>t</m:t>
        </m:r>
        <m:r>
          <m:t>i</m:t>
        </m:r>
        <m:r>
          <m:t>n</m:t>
        </m:r>
        <m:r>
          <m:t>g</m:t>
        </m:r>
        <m:r>
          <m:t> </m:t>
        </m:r>
      </m:oMath>
      <w:r>
        <w:t xml:space="preserve">12.7B of WBD notes into second-lien secured notes.</w:t>
      </w:r>
    </w:p>
    <w:p>
      <w:pPr>
        <w:pStyle w:val="Compact"/>
        <w:numPr>
          <w:ilvl w:val="0"/>
          <w:numId w:val="1004"/>
        </w:numPr>
      </w:pPr>
      <w:r>
        <w:rPr>
          <w:b/>
          <w:bCs/>
        </w:rPr>
        <w:t xml:space="preserve">Pro-forma leverage:</w:t>
      </w:r>
      <w:r>
        <w:t xml:space="preserve"> </w:t>
      </w:r>
      <w:r>
        <w:t xml:space="preserve">the combined balance sheet carries roughly **</w:t>
      </w:r>
      <m:oMath>
        <m:r>
          <m:t>80</m:t>
        </m:r>
        <m:r>
          <m:t>B</m:t>
        </m:r>
        <m:r>
          <m:rPr>
            <m:sty m:val="p"/>
          </m:rPr>
          <m:t>+</m:t>
        </m:r>
        <m:r>
          <m:t>o</m:t>
        </m:r>
        <m:r>
          <m:t>f</m:t>
        </m:r>
        <m:r>
          <m:t>d</m:t>
        </m:r>
        <m:r>
          <m:t>e</m:t>
        </m:r>
        <m:r>
          <m:t>b</m:t>
        </m:r>
        <m:r>
          <m:t>t</m:t>
        </m:r>
        <m:r>
          <m:rPr>
            <m:sty m:val="p"/>
          </m:rPr>
          <m:t>*</m:t>
        </m:r>
        <m:r>
          <m:rPr>
            <m:sty m:val="p"/>
          </m:rPr>
          <m:t>*</m:t>
        </m:r>
        <m:r>
          <m:t>a</m:t>
        </m:r>
        <m:r>
          <m:t>n</m:t>
        </m:r>
        <m:r>
          <m:t>d</m:t>
        </m:r>
        <m:r>
          <m:t>g</m:t>
        </m:r>
        <m:r>
          <m:t>e</m:t>
        </m:r>
        <m:r>
          <m:t>n</m:t>
        </m:r>
        <m:r>
          <m:t>e</m:t>
        </m:r>
        <m:r>
          <m:t>r</m:t>
        </m:r>
        <m:r>
          <m:t>a</m:t>
        </m:r>
        <m:r>
          <m:t>t</m:t>
        </m:r>
        <m:r>
          <m:t>e</m:t>
        </m:r>
        <m:r>
          <m:t>d</m:t>
        </m:r>
        <m:r>
          <m:t>a</m:t>
        </m:r>
        <m:r>
          <m:t>p</m:t>
        </m:r>
        <m:r>
          <m:t>r</m:t>
        </m:r>
        <m:r>
          <m:t>o</m:t>
        </m:r>
        <m:r>
          <m:rPr>
            <m:sty m:val="p"/>
          </m:rPr>
          <m:t>−</m:t>
        </m:r>
        <m:r>
          <m:t>f</m:t>
        </m:r>
        <m:r>
          <m:t>o</m:t>
        </m:r>
        <m:r>
          <m:t>r</m:t>
        </m:r>
        <m:r>
          <m:t>m</m:t>
        </m:r>
        <m:r>
          <m:t>a</m:t>
        </m:r>
        <m:r>
          <m:rPr>
            <m:sty m:val="p"/>
          </m:rPr>
          <m:t>*</m:t>
        </m:r>
        <m:r>
          <m:rPr>
            <m:sty m:val="p"/>
          </m:rPr>
          <m:t>*</m:t>
        </m:r>
        <m:r>
          <m:t>n</m:t>
        </m:r>
        <m:r>
          <m:t>e</m:t>
        </m:r>
        <m:r>
          <m:t>t</m:t>
        </m:r>
        <m:r>
          <m:t>l</m:t>
        </m:r>
        <m:r>
          <m:t>o</m:t>
        </m:r>
        <m:r>
          <m:t>s</m:t>
        </m:r>
        <m:r>
          <m:t>s</m:t>
        </m:r>
        <m:r>
          <m:rPr>
            <m:sty m:val="p"/>
          </m:rPr>
          <m:t>*</m:t>
        </m:r>
        <m:r>
          <m:rPr>
            <m:sty m:val="p"/>
          </m:rPr>
          <m:t>*</m:t>
        </m:r>
        <m:r>
          <m:rPr>
            <m:sty m:val="p"/>
          </m:rPr>
          <m:t>(</m:t>
        </m:r>
        <m:r>
          <m:rPr>
            <m:sty m:val="p"/>
          </m:rPr>
          <m:t>‑</m:t>
        </m:r>
      </m:oMath>
      <w:r>
        <w:t xml:space="preserve">1.0B in Q1'26, ‑</w:t>
      </w:r>
      <m:oMath>
        <m:r>
          <m:t>5.8</m:t>
        </m:r>
        <m:r>
          <m:t>B</m:t>
        </m:r>
        <m:r>
          <m:t>i</m:t>
        </m:r>
        <m:r>
          <m:t>n</m:t>
        </m:r>
        <m:r>
          <m:t>F</m:t>
        </m:r>
        <m:r>
          <m:t>Y</m:t>
        </m:r>
        <m:r>
          <m:t>25</m:t>
        </m:r>
        <m:r>
          <m:t>o</m:t>
        </m:r>
        <m:r>
          <m:t>n</m:t>
        </m:r>
        <m:r>
          <m:t>t</m:t>
        </m:r>
        <m:r>
          <m:t>h</m:t>
        </m:r>
        <m:r>
          <m:t>e</m:t>
        </m:r>
        <m:r>
          <m:t>i</m:t>
        </m:r>
        <m:r>
          <m:t>l</m:t>
        </m:r>
        <m:r>
          <m:t>l</m:t>
        </m:r>
        <m:r>
          <m:t>u</m:t>
        </m:r>
        <m:r>
          <m:t>s</m:t>
        </m:r>
        <m:r>
          <m:t>t</m:t>
        </m:r>
        <m:r>
          <m:t>r</m:t>
        </m:r>
        <m:r>
          <m:t>a</m:t>
        </m:r>
        <m:r>
          <m:t>t</m:t>
        </m:r>
        <m:r>
          <m:t>i</m:t>
        </m:r>
        <m:r>
          <m:t>v</m:t>
        </m:r>
        <m:r>
          <m:t>e</m:t>
        </m:r>
        <m:r>
          <m:t>c</m:t>
        </m:r>
        <m:r>
          <m:t>o</m:t>
        </m:r>
        <m:r>
          <m:t>m</m:t>
        </m:r>
        <m:r>
          <m:t>b</m:t>
        </m:r>
        <m:r>
          <m:t>i</m:t>
        </m:r>
        <m:r>
          <m:t>n</m:t>
        </m:r>
        <m:r>
          <m:t>a</m:t>
        </m:r>
        <m:r>
          <m:t>t</m:t>
        </m:r>
        <m:r>
          <m:t>i</m:t>
        </m:r>
        <m:r>
          <m:t>o</m:t>
        </m:r>
        <m:r>
          <m:t>n</m:t>
        </m:r>
        <m:r>
          <m:rPr>
            <m:sty m:val="p"/>
          </m:rPr>
          <m:t>)</m:t>
        </m:r>
        <m:r>
          <m:rPr>
            <m:sty m:val="p"/>
          </m:rPr>
          <m:t>.</m:t>
        </m:r>
        <m:r>
          <m:t>T</m:t>
        </m:r>
        <m:r>
          <m:t>h</m:t>
        </m:r>
        <m:r>
          <m:t>e</m:t>
        </m:r>
        <m:r>
          <m:t>a</m:t>
        </m:r>
        <m:r>
          <m:t>s</m:t>
        </m:r>
        <m:r>
          <m:t>s</m:t>
        </m:r>
        <m:r>
          <m:t>u</m:t>
        </m:r>
        <m:r>
          <m:t>m</m:t>
        </m:r>
        <m:r>
          <m:t>e</m:t>
        </m:r>
        <m:r>
          <m:t>d</m:t>
        </m:r>
        <m:r>
          <m:t> </m:t>
        </m:r>
        <m:r>
          <m:t>7</m:t>
        </m:r>
      </m:oMath>
      <w:r>
        <w:t xml:space="preserve">4B+ of annual interest. This is the "extremely elevated leverage ratio" the market keeps citing.</w:t>
      </w:r>
    </w:p>
    <w:p>
      <w:pPr>
        <w:pStyle w:val="FirstParagraph"/>
      </w:pPr>
      <w:r>
        <w:rPr>
          <w:b/>
          <w:bCs/>
        </w:rPr>
        <w:t xml:space="preserve">Regulatory / legal — the live wire (and why timing matters this week)</w:t>
      </w:r>
    </w:p>
    <w:p>
      <w:pPr>
        <w:pStyle w:val="Compact"/>
        <w:numPr>
          <w:ilvl w:val="0"/>
          <w:numId w:val="1005"/>
        </w:numPr>
      </w:pPr>
      <w:r>
        <w:t xml:space="preserve">✅ EU granted conditional approval (Jul 22); South Korea cleared.</w:t>
      </w:r>
    </w:p>
    <w:p>
      <w:pPr>
        <w:pStyle w:val="Compact"/>
        <w:numPr>
          <w:ilvl w:val="0"/>
          <w:numId w:val="1005"/>
        </w:numPr>
      </w:pPr>
      <w:r>
        <w:t xml:space="preserve">⚠️ A group of U.S. states sued to block the deal; a federal judge</w:t>
      </w:r>
      <w:r>
        <w:t xml:space="preserve"> </w:t>
      </w:r>
      <w:r>
        <w:rPr>
          <w:b/>
          <w:bCs/>
        </w:rPr>
        <w:t xml:space="preserve">temporarily halted</w:t>
      </w:r>
      <w:r>
        <w:t xml:space="preserve"> </w:t>
      </w:r>
      <w:r>
        <w:t xml:space="preserve">it, with a hearing on the calendar for</w:t>
      </w:r>
      <w:r>
        <w:t xml:space="preserve"> </w:t>
      </w:r>
      <w:r>
        <w:rPr>
          <w:b/>
          <w:bCs/>
        </w:rPr>
        <w:t xml:space="preserve">August 3</w:t>
      </w:r>
      <w:r>
        <w:t xml:space="preserve"> </w:t>
      </w:r>
      <w:r>
        <w:t xml:space="preserve">— literally the day before earnings — and the no-close deadline pushed to</w:t>
      </w:r>
      <w:r>
        <w:t xml:space="preserve"> </w:t>
      </w:r>
      <w:r>
        <w:rPr>
          <w:b/>
          <w:bCs/>
        </w:rPr>
        <w:t xml:space="preserve">August 18</w:t>
      </w:r>
      <w:r>
        <w:t xml:space="preserve">.</w:t>
      </w:r>
    </w:p>
    <w:p>
      <w:pPr>
        <w:pStyle w:val="Compact"/>
        <w:numPr>
          <w:ilvl w:val="0"/>
          <w:numId w:val="1005"/>
        </w:numPr>
      </w:pPr>
      <w:r>
        <w:t xml:space="preserve">⚠️ Reports indicate Paramount agreed to pause the merger until as late as</w:t>
      </w:r>
      <w:r>
        <w:t xml:space="preserve"> </w:t>
      </w:r>
      <w:r>
        <w:rPr>
          <w:b/>
          <w:bCs/>
        </w:rPr>
        <w:t xml:space="preserve">June 2027</w:t>
      </w:r>
      <w:r>
        <w:t xml:space="preserve"> </w:t>
      </w:r>
      <w:r>
        <w:t xml:space="preserve">pending the litigation, and that</w:t>
      </w:r>
      <w:r>
        <w:t xml:space="preserve"> </w:t>
      </w:r>
      <w:r>
        <w:rPr>
          <w:b/>
          <w:bCs/>
        </w:rPr>
        <w:t xml:space="preserve">Wall Street prices ~50/50 odds</w:t>
      </w:r>
      <w:r>
        <w:t xml:space="preserve"> </w:t>
      </w:r>
      <w:r>
        <w:t xml:space="preserve">of completion. Some WBD executives are reportedly</w:t>
      </w:r>
      <w:r>
        <w:t xml:space="preserve"> </w:t>
      </w:r>
      <w:r>
        <w:rPr>
          <w:i/>
          <w:iCs/>
        </w:rPr>
        <w:t xml:space="preserve">hoping</w:t>
      </w:r>
      <w:r>
        <w:t xml:space="preserve"> </w:t>
      </w:r>
      <w:r>
        <w:t xml:space="preserve">the suit derails it.</w:t>
      </w:r>
    </w:p>
    <w:p>
      <w:pPr>
        <w:pStyle w:val="Compact"/>
        <w:numPr>
          <w:ilvl w:val="0"/>
          <w:numId w:val="1005"/>
        </w:numPr>
      </w:pPr>
      <w:r>
        <w:t xml:space="preserve">🕊️ California Governor Newsom has voiced concern about his own state's suit and is nudging AG Bonta toward a settlement — a potential positive catalyst. There's also chatter that divesting</w:t>
      </w:r>
      <w:r>
        <w:t xml:space="preserve"> </w:t>
      </w:r>
      <w:r>
        <w:rPr>
          <w:b/>
          <w:bCs/>
        </w:rPr>
        <w:t xml:space="preserve">CNN</w:t>
      </w:r>
      <w:r>
        <w:t xml:space="preserve"> </w:t>
      </w:r>
      <w:r>
        <w:t xml:space="preserve">could ease antitrust opposition.</w:t>
      </w:r>
    </w:p>
    <w:p>
      <w:pPr>
        <w:pStyle w:val="FirstParagraph"/>
      </w:pPr>
      <w:r>
        <w:t xml:space="preserve">Management had been guiding to a</w:t>
      </w:r>
      <w:r>
        <w:t xml:space="preserve"> </w:t>
      </w:r>
      <w:r>
        <w:rPr>
          <w:b/>
          <w:bCs/>
        </w:rPr>
        <w:t xml:space="preserve">Q3'26 close</w:t>
      </w:r>
      <w:r>
        <w:t xml:space="preserve">; given the injunction and the reported June-2027 backstop, the single most important thing on this call is</w:t>
      </w:r>
      <w:r>
        <w:t xml:space="preserve"> </w:t>
      </w:r>
      <w:r>
        <w:rPr>
          <w:b/>
          <w:bCs/>
        </w:rPr>
        <w:t xml:space="preserve">any update to closing timeline, confidence, and contingency plans</w:t>
      </w:r>
      <w:r>
        <w:t xml:space="preserve"> </w:t>
      </w:r>
      <w:r>
        <w:t xml:space="preserve">(including the ticking-fee accrual and whether the bridge might get drawn).</w:t>
      </w:r>
    </w:p>
    <w:p>
      <w:r>
        <w:pict>
          <v:rect style="width:0;height:1.5pt" o:hralign="center" o:hrstd="t" o:hr="t"/>
        </w:pict>
      </w:r>
    </w:p>
    <w:bookmarkEnd w:id="14"/>
    <w:bookmarkStart w:id="15" w:name="Xcb0046505122e3d97e92b17d6b23c898977143f"/>
    <w:p>
      <w:pPr>
        <w:pStyle w:val="Heading2"/>
      </w:pPr>
      <w:r>
        <w:t xml:space="preserve">5. Key questions I'd want answered on the call</w:t>
      </w:r>
    </w:p>
    <w:p>
      <w:pPr>
        <w:pStyle w:val="Compact"/>
        <w:numPr>
          <w:ilvl w:val="0"/>
          <w:numId w:val="1006"/>
        </w:numPr>
      </w:pPr>
      <w:r>
        <w:rPr>
          <w:b/>
          <w:bCs/>
        </w:rPr>
        <w:t xml:space="preserve">Deal timeline &amp; confidence:</w:t>
      </w:r>
      <w:r>
        <w:t xml:space="preserve"> </w:t>
      </w:r>
      <w:r>
        <w:t xml:space="preserve">Post-Aug 3 hearing, what is management's updated view on close timing and the probability of clearing the state litigation? Is the Q3 target dead?</w:t>
      </w:r>
    </w:p>
    <w:p>
      <w:pPr>
        <w:pStyle w:val="Compact"/>
        <w:numPr>
          <w:ilvl w:val="0"/>
          <w:numId w:val="1006"/>
        </w:numPr>
      </w:pPr>
      <w:r>
        <w:rPr>
          <w:b/>
          <w:bCs/>
        </w:rPr>
        <w:t xml:space="preserve">Financing certainty:</w:t>
      </w:r>
      <w:r>
        <w:t xml:space="preserve"> </w:t>
      </w:r>
      <w:r>
        <w:t xml:space="preserve">How much of the $51.9B permanent financing is locked at what rates? What's the plan if rates/markets move against them, and what does drawing the 0.5%-fee bridge cost?</w:t>
      </w:r>
    </w:p>
    <w:p>
      <w:pPr>
        <w:pStyle w:val="Compact"/>
        <w:numPr>
          <w:ilvl w:val="0"/>
          <w:numId w:val="1006"/>
        </w:numPr>
      </w:pPr>
      <w:r>
        <w:rPr>
          <w:b/>
          <w:bCs/>
        </w:rPr>
        <w:t xml:space="preserve">Dilution math:</w:t>
      </w:r>
      <w:r>
        <w:t xml:space="preserve"> </w:t>
      </w:r>
      <w:r>
        <w:t xml:space="preserve">At an ~$8 share price and a $12 floor, they issue ~3.9B shares. How do they defend per-share value creation? Where's the warrant dividend (one 10-yr warrant per Class B share) in the value story?</w:t>
      </w:r>
    </w:p>
    <w:p>
      <w:pPr>
        <w:pStyle w:val="Compact"/>
        <w:numPr>
          <w:ilvl w:val="0"/>
          <w:numId w:val="1006"/>
        </w:numPr>
      </w:pPr>
      <w:r>
        <w:rPr>
          <w:b/>
          <w:bCs/>
        </w:rPr>
        <w:t xml:space="preserve">Synergies:</w:t>
      </w:r>
      <w:r>
        <w:t xml:space="preserve"> </w:t>
      </w:r>
      <w:r>
        <w:t xml:space="preserve">They've committed to ≥30 films/year across Paramount + Warner and $3B+ of standalone efficiencies — but what is the</w:t>
      </w:r>
      <w:r>
        <w:t xml:space="preserve"> </w:t>
      </w:r>
      <w:r>
        <w:rPr>
          <w:i/>
          <w:iCs/>
        </w:rPr>
        <w:t xml:space="preserve">combined-company</w:t>
      </w:r>
      <w:r>
        <w:t xml:space="preserve"> </w:t>
      </w:r>
      <w:r>
        <w:t xml:space="preserve">synergy target and deleveraging path?</w:t>
      </w:r>
    </w:p>
    <w:p>
      <w:pPr>
        <w:pStyle w:val="Compact"/>
        <w:numPr>
          <w:ilvl w:val="0"/>
          <w:numId w:val="1006"/>
        </w:numPr>
      </w:pPr>
      <w:r>
        <w:rPr>
          <w:b/>
          <w:bCs/>
        </w:rPr>
        <w:t xml:space="preserve">Standalone plan B:</w:t>
      </w:r>
      <w:r>
        <w:t xml:space="preserve"> </w:t>
      </w:r>
      <w:r>
        <w:t xml:space="preserve">If the deal breaks, what does PSKY look like — capital allocation, the $3B efficiency program, and whether they'd pursue alternatives (or become a target)?</w:t>
      </w:r>
    </w:p>
    <w:p>
      <w:pPr>
        <w:pStyle w:val="Compact"/>
        <w:numPr>
          <w:ilvl w:val="0"/>
          <w:numId w:val="1006"/>
        </w:numPr>
      </w:pPr>
      <w:r>
        <w:rPr>
          <w:b/>
          <w:bCs/>
        </w:rPr>
        <w:t xml:space="preserve">DTC trajectory:</w:t>
      </w:r>
      <w:r>
        <w:t xml:space="preserve"> </w:t>
      </w:r>
      <w:r>
        <w:t xml:space="preserve">Confidence in "accelerating" DTC revenue and profit in 2026 as hard-bundle exits wash through; churn read on the January price increases.</w:t>
      </w:r>
    </w:p>
    <w:p>
      <w:r>
        <w:pict>
          <v:rect style="width:0;height:1.5pt" o:hralign="center" o:hrstd="t" o:hr="t"/>
        </w:pict>
      </w:r>
    </w:p>
    <w:bookmarkEnd w:id="15"/>
    <w:bookmarkStart w:id="16" w:name="Xc16dce94a5480dc8c4cbccb719fdca2d13d59b5"/>
    <w:p>
      <w:pPr>
        <w:pStyle w:val="Heading2"/>
      </w:pPr>
      <w:r>
        <w:t xml:space="preserve">6. Bull vs. bear framing</w:t>
      </w:r>
    </w:p>
    <w:p>
      <w:pPr>
        <w:pStyle w:val="FirstParagraph"/>
      </w:pPr>
      <w:r>
        <w:rPr>
          <w:b/>
          <w:bCs/>
        </w:rPr>
        <w:t xml:space="preserve">Bull case</w:t>
      </w:r>
    </w:p>
    <w:p>
      <w:pPr>
        <w:pStyle w:val="Compact"/>
        <w:numPr>
          <w:ilvl w:val="0"/>
          <w:numId w:val="1007"/>
        </w:numPr>
      </w:pPr>
      <w:r>
        <w:t xml:space="preserve">Standalone execution is genuinely improving: DTC swung to positive EBITDA, Paramount+ ARPU +14%, TV Media margins expanding via cost control, and the $3B+ efficiency program is "ahead of schedule."</w:t>
      </w:r>
    </w:p>
    <w:p>
      <w:pPr>
        <w:pStyle w:val="Compact"/>
        <w:numPr>
          <w:ilvl w:val="0"/>
          <w:numId w:val="1007"/>
        </w:numPr>
      </w:pPr>
      <w:r>
        <w:t xml:space="preserve">Guidance looks achievable/conservative; a clean beat + reaffirmed full year would reassure.</w:t>
      </w:r>
    </w:p>
    <w:p>
      <w:pPr>
        <w:pStyle w:val="Compact"/>
        <w:numPr>
          <w:ilvl w:val="0"/>
          <w:numId w:val="1007"/>
        </w:numPr>
      </w:pPr>
      <w:r>
        <w:t xml:space="preserve">Any settlement path (Newsom's posture, potential CNN divestiture) that de-risks the WBD close could unlock a large re-rating given how much bad news is priced in.</w:t>
      </w:r>
    </w:p>
    <w:p>
      <w:pPr>
        <w:pStyle w:val="Compact"/>
        <w:numPr>
          <w:ilvl w:val="0"/>
          <w:numId w:val="1007"/>
        </w:numPr>
      </w:pPr>
      <w:r>
        <w:t xml:space="preserve">WBD would add enormous IP/scale and a real streaming challenger to Netflix/Disney.</w:t>
      </w:r>
    </w:p>
    <w:p>
      <w:pPr>
        <w:pStyle w:val="FirstParagraph"/>
      </w:pPr>
      <w:r>
        <w:rPr>
          <w:b/>
          <w:bCs/>
        </w:rPr>
        <w:t xml:space="preserve">Bear case</w:t>
      </w:r>
    </w:p>
    <w:p>
      <w:pPr>
        <w:pStyle w:val="Compact"/>
        <w:numPr>
          <w:ilvl w:val="0"/>
          <w:numId w:val="1008"/>
        </w:numPr>
      </w:pPr>
      <w:r>
        <w:t xml:space="preserve">~50/50 deal odds + a court injunction = binary, hard-to-underwrite risk.</w:t>
      </w:r>
    </w:p>
    <w:p>
      <w:pPr>
        <w:pStyle w:val="Compact"/>
        <w:numPr>
          <w:ilvl w:val="0"/>
          <w:numId w:val="1008"/>
        </w:numPr>
      </w:pPr>
      <w:r>
        <w:t xml:space="preserve">If it closes: ~$80B debt, a pro-forma net loss, ~7% financing cost, and ~4x share dilution — a heavily levered turnaround in a secularly declining industry.</w:t>
      </w:r>
    </w:p>
    <w:p>
      <w:pPr>
        <w:pStyle w:val="Compact"/>
        <w:numPr>
          <w:ilvl w:val="0"/>
          <w:numId w:val="1008"/>
        </w:numPr>
      </w:pPr>
      <w:r>
        <w:t xml:space="preserve">If it breaks: overhang lifts but you own a legacy-media asset still fighting cord-cutting, minus a strategic rationale, with a controlling shareholder (Ellison family, ~77.5% of Class A) whose interests may not align with minority Class B holders.</w:t>
      </w:r>
    </w:p>
    <w:p>
      <w:pPr>
        <w:pStyle w:val="Compact"/>
        <w:numPr>
          <w:ilvl w:val="0"/>
          <w:numId w:val="1008"/>
        </w:numPr>
      </w:pPr>
      <w:r>
        <w:t xml:space="preserve">Linear/TV Media secular decline and lumpy theatrical remain structural headwinds.</w:t>
      </w:r>
    </w:p>
    <w:p>
      <w:r>
        <w:pict>
          <v:rect style="width:0;height:1.5pt" o:hralign="center" o:hrstd="t" o:hr="t"/>
        </w:pict>
      </w:r>
    </w:p>
    <w:bookmarkEnd w:id="16"/>
    <w:bookmarkStart w:id="17" w:name="Xc8281f82e09ae78d0ccec02fd1dd20e812cf2b4"/>
    <w:p>
      <w:pPr>
        <w:pStyle w:val="Heading2"/>
      </w:pPr>
      <w:r>
        <w:t xml:space="preserve">7. How to trade the reaction</w:t>
      </w:r>
    </w:p>
    <w:p>
      <w:pPr>
        <w:pStyle w:val="FirstParagraph"/>
      </w:pPr>
      <w:r>
        <w:t xml:space="preserve">Because guidance is already framed for a soft-optics Q2 (theatrical comp, flattish subs), a modest revenue miss inside the $6.75–6.95B range likely matters far less than</w:t>
      </w:r>
      <w:r>
        <w:t xml:space="preserve"> </w:t>
      </w:r>
      <w:r>
        <w:rPr>
          <w:b/>
          <w:bCs/>
        </w:rPr>
        <w:t xml:space="preserve">management's commentary on the WBD close</w:t>
      </w:r>
      <w:r>
        <w:t xml:space="preserve"> </w:t>
      </w:r>
      <w:r>
        <w:t xml:space="preserve">in the wake of the Aug 3 hearing. Expect the after-hours move to be driven by:</w:t>
      </w:r>
    </w:p>
    <w:p>
      <w:pPr>
        <w:pStyle w:val="Compact"/>
        <w:numPr>
          <w:ilvl w:val="0"/>
          <w:numId w:val="1009"/>
        </w:numPr>
      </w:pPr>
      <w:r>
        <w:t xml:space="preserve">Deal timeline/confidence language (biggest swing factor),</w:t>
      </w:r>
    </w:p>
    <w:p>
      <w:pPr>
        <w:pStyle w:val="Compact"/>
        <w:numPr>
          <w:ilvl w:val="0"/>
          <w:numId w:val="1009"/>
        </w:numPr>
      </w:pPr>
      <w:r>
        <w:t xml:space="preserve">DTC margin trajectory and reaffirmation (or not) of the $30B / $3.8B EBITDA full-year targets,</w:t>
      </w:r>
    </w:p>
    <w:p>
      <w:pPr>
        <w:pStyle w:val="Compact"/>
        <w:numPr>
          <w:ilvl w:val="0"/>
          <w:numId w:val="1009"/>
        </w:numPr>
      </w:pPr>
      <w:r>
        <w:t xml:space="preserve">Any hint of a litigation settlement or divestiture (CNN) that changes deal odds.</w:t>
      </w:r>
    </w:p>
    <w:p>
      <w:pPr>
        <w:pStyle w:val="FirstParagraph"/>
      </w:pPr>
      <w:r>
        <w:t xml:space="preserve">Given the depressed share price and heavy skepticism already embedded, the risk/reward is asymmetric around</w:t>
      </w:r>
      <w:r>
        <w:t xml:space="preserve"> </w:t>
      </w:r>
      <w:r>
        <w:rPr>
          <w:i/>
          <w:iCs/>
        </w:rPr>
        <w:t xml:space="preserve">deal news</w:t>
      </w:r>
      <w:r>
        <w:t xml:space="preserve"> </w:t>
      </w:r>
      <w:r>
        <w:t xml:space="preserve">rather than</w:t>
      </w:r>
      <w:r>
        <w:t xml:space="preserve"> </w:t>
      </w:r>
      <w:r>
        <w:rPr>
          <w:i/>
          <w:iCs/>
        </w:rPr>
        <w:t xml:space="preserve">EPS</w:t>
      </w:r>
      <w:r>
        <w:t xml:space="preserve"> </w:t>
      </w:r>
      <w:r>
        <w:t xml:space="preserve">— position and size accordingly.</w:t>
      </w:r>
    </w:p>
    <w:p>
      <w:r>
        <w:pict>
          <v:rect style="width:0;height:1.5pt" o:hralign="center" o:hrstd="t" o:hr="t"/>
        </w:pict>
      </w:r>
    </w:p>
    <w:p>
      <w:pPr>
        <w:pStyle w:val="FirstParagraph"/>
      </w:pPr>
      <w:r>
        <w:rPr>
          <w:i/>
          <w:iCs/>
        </w:rPr>
        <w:t xml:space="preserve">Note: A pivotal court hearing on the states' challenge was scheduled for Aug 3, the day before this report. Confirm that outcome before the call, as it likely reframes management's entire deal narrative. All operating figures reference PSKY's Q1'26 results and its own Q2/FY26 guidance; the merger financials are the company's illustrative pro-forma disclosures and assume a close that has not occurred.</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2026-08-04T01:46:37Z</dcterms:created>
  <dcterms:modified xsi:type="dcterms:W3CDTF">2026-08-04T01:46:37Z</dcterms:modified>
</cp:coreProperties>
</file>

<file path=docProps/custom.xml><?xml version="1.0" encoding="utf-8"?>
<Properties xmlns="http://schemas.openxmlformats.org/officeDocument/2006/custom-properties" xmlns:vt="http://schemas.openxmlformats.org/officeDocument/2006/docPropsVTypes"/>
</file>