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 now have enough information to write a comprehensive, well-sourced earnings preview. Let me also quickly confirm the leverage/credit-rating angle before drafting.I have comprehensive information now. Let me write the earnings preview.# Paramount Skydance (PSKY) — Q2 2026 Earnings Preview</w:t>
      </w:r>
      <w:r>
        <w:t xml:space="preserve"> </w:t>
      </w:r>
      <w:r>
        <w:rPr>
          <w:b/>
          <w:bCs/>
        </w:rPr>
        <w:t xml:space="preserve">Report Date:</w:t>
      </w:r>
      <w:r>
        <w:t xml:space="preserve"> </w:t>
      </w:r>
      <w:r>
        <w:t xml:space="preserve">August 4, 2026 (after market close) |</w:t>
      </w:r>
      <w:r>
        <w:t xml:space="preserve"> </w:t>
      </w:r>
      <w:r>
        <w:rPr>
          <w:b/>
          <w:bCs/>
        </w:rPr>
        <w:t xml:space="preserve">Event:</w:t>
      </w:r>
      <w:r>
        <w:t xml:space="preserve"> </w:t>
      </w:r>
      <w:r>
        <w:t xml:space="preserve">2026 Q2 Earnings Call |</w:t>
      </w:r>
      <w:r>
        <w:t xml:space="preserve"> </w:t>
      </w:r>
      <w:r>
        <w:rPr>
          <w:b/>
          <w:bCs/>
        </w:rPr>
        <w:t xml:space="preserve">Stock:</w:t>
      </w:r>
      <w:r>
        <w:t xml:space="preserve"> </w:t>
      </w:r>
      <w:r>
        <w:t xml:space="preserve">~</w:t>
      </w:r>
      <m:oMath>
        <m:r>
          <m:t>8.24</m:t>
        </m:r>
        <m:r>
          <m:rPr>
            <m:sty m:val="p"/>
          </m:rPr>
          <m:t>(</m:t>
        </m:r>
        <m:r>
          <m:t>a</m:t>
        </m:r>
        <m:r>
          <m:t>s</m:t>
        </m:r>
        <m:r>
          <m:t>o</m:t>
        </m:r>
        <m:r>
          <m:t>f</m:t>
        </m:r>
        <m:r>
          <m:t>8</m:t>
        </m:r>
        <m:r>
          <m:rPr>
            <m:sty m:val="p"/>
          </m:rPr>
          <m:t>/</m:t>
        </m:r>
        <m:r>
          <m:t>3</m:t>
        </m:r>
        <m:r>
          <m:rPr>
            <m:sty m:val="p"/>
          </m:rPr>
          <m:t>/</m:t>
        </m:r>
        <m:r>
          <m:t>26</m:t>
        </m:r>
        <m:r>
          <m:t>c</m:t>
        </m:r>
        <m:r>
          <m:t>l</m:t>
        </m:r>
        <m:r>
          <m:t>o</m:t>
        </m:r>
        <m:r>
          <m:t>s</m:t>
        </m:r>
        <m:r>
          <m:t>e</m:t>
        </m:r>
        <m:r>
          <m:rPr>
            <m:sty m:val="p"/>
          </m:rPr>
          <m:t>)</m:t>
        </m:r>
        <m:r>
          <m:rPr>
            <m:sty m:val="p"/>
          </m:rPr>
          <m:t>,</m:t>
        </m:r>
        <m:r>
          <m:t>d</m:t>
        </m:r>
        <m:r>
          <m:t>o</m:t>
        </m:r>
        <m:r>
          <m:t>w</m:t>
        </m:r>
        <m:r>
          <m:t>n</m:t>
        </m:r>
        <m:r>
          <m:t>f</m:t>
        </m:r>
        <m:r>
          <m:t>r</m:t>
        </m:r>
        <m:r>
          <m:t>o</m:t>
        </m:r>
        <m:r>
          <m:t>m</m:t>
        </m:r>
        <m:r>
          <m:t> </m:t>
        </m:r>
      </m:oMath>
      <w:r>
        <w:t xml:space="preserve">11 in early May</w:t>
      </w:r>
    </w:p>
    <w:p>
      <w:r>
        <w:pict>
          <v:rect style="width:0;height:1.5pt" o:hralign="center" o:hrstd="t" o:hr="t"/>
        </w:pict>
      </w:r>
    </w:p>
    <w:bookmarkStart w:id="9" w:name="tldr"/>
    <w:p>
      <w:pPr>
        <w:pStyle w:val="Heading2"/>
      </w:pPr>
      <w:r>
        <w:t xml:space="preserve">TL;DR</w:t>
      </w:r>
    </w:p>
    <w:p>
      <w:pPr>
        <w:pStyle w:val="FirstParagraph"/>
      </w:pPr>
      <w:r>
        <w:t xml:space="preserve">PSKY's Q2 print is arguably the least important thing about this earnings report. The core streaming/studio/TV business is executing reasonably well and guidance looks achievable, but the stock — and the story — is almost entirely hostage to the fate of the</w:t>
      </w:r>
      <w:r>
        <w:t xml:space="preserve"> </w:t>
      </w:r>
      <w:r>
        <w:rPr>
          <w:b/>
          <w:bCs/>
        </w:rPr>
        <w:t xml:space="preserve">$110B+ Warner Bros. Discovery (WBD) acquisition</w:t>
      </w:r>
      <w:r>
        <w:t xml:space="preserve">, which is currently frozen by a federal court amid a 12-state antitrust lawsuit. Investors should treat this print as a "check-in" on the base business while listening closely for any new color on deal timing, litigation strategy, financing/leverage, and the increasingly expensive</w:t>
      </w:r>
      <w:r>
        <w:t xml:space="preserve"> </w:t>
      </w:r>
      <w:r>
        <w:rPr>
          <w:b/>
          <w:bCs/>
        </w:rPr>
        <w:t xml:space="preserve">ticking fee</w:t>
      </w:r>
      <w:r>
        <w:t xml:space="preserve"> </w:t>
      </w:r>
      <w:r>
        <w:t xml:space="preserve">clock.</w:t>
      </w:r>
    </w:p>
    <w:p>
      <w:r>
        <w:pict>
          <v:rect style="width:0;height:1.5pt" o:hralign="center" o:hrstd="t" o:hr="t"/>
        </w:pict>
      </w:r>
    </w:p>
    <w:bookmarkEnd w:id="9"/>
    <w:bookmarkStart w:id="10" w:name="X88469878f285757a51f4f596bfd725430db7dc8"/>
    <w:p>
      <w:pPr>
        <w:pStyle w:val="Heading2"/>
      </w:pPr>
      <w:r>
        <w:t xml:space="preserve">1. Setting the Scene: Why the Stock Is Down ~25% Since Q1 Earnings</w:t>
      </w:r>
    </w:p>
    <w:p>
      <w:pPr>
        <w:pStyle w:val="FirstParagraph"/>
      </w:pPr>
      <w:r>
        <w:t xml:space="preserve">PSKY shares have fallen from roughly</w:t>
      </w:r>
      <w:r>
        <w:t xml:space="preserve"> </w:t>
      </w:r>
      <m:oMath>
        <m:r>
          <m:t>11</m:t>
        </m:r>
        <m:r>
          <m:t>i</m:t>
        </m:r>
        <m:r>
          <m:t>n</m:t>
        </m:r>
        <m:r>
          <m:t>e</m:t>
        </m:r>
        <m:r>
          <m:t>a</m:t>
        </m:r>
        <m:r>
          <m:t>r</m:t>
        </m:r>
        <m:r>
          <m:t>l</m:t>
        </m:r>
        <m:r>
          <m:t>y</m:t>
        </m:r>
        <m:r>
          <m:t>M</m:t>
        </m:r>
        <m:r>
          <m:t>a</m:t>
        </m:r>
        <m:r>
          <m:t>y</m:t>
        </m:r>
        <m:r>
          <m:t>t</m:t>
        </m:r>
        <m:r>
          <m:t>o</m:t>
        </m:r>
        <m:r>
          <m:t>t</m:t>
        </m:r>
        <m:r>
          <m:t>h</m:t>
        </m:r>
        <m:r>
          <m:t>e</m:t>
        </m:r>
        <m:r>
          <m:t>h</m:t>
        </m:r>
        <m:r>
          <m:t>i</m:t>
        </m:r>
        <m:r>
          <m:t>g</m:t>
        </m:r>
        <m:r>
          <m:t>h</m:t>
        </m:r>
        <m:r>
          <m:rPr>
            <m:sty m:val="p"/>
          </m:rPr>
          <m:t>−</m:t>
        </m:r>
      </m:oMath>
      <w:r>
        <w:t xml:space="preserve">7s/low-$8s heading into this print, a decline that accelerated sharply in late July. The proximate cause is not the underlying media business but escalating legal risk around the WBD deal:</w:t>
      </w:r>
    </w:p>
    <w:p>
      <w:pPr>
        <w:pStyle w:val="Compact"/>
        <w:numPr>
          <w:ilvl w:val="0"/>
          <w:numId w:val="1001"/>
        </w:numPr>
      </w:pPr>
      <w:r>
        <w:t xml:space="preserve">A federal judge (Araceli Martínez-Olguín, N.D. Cal.) granted a</w:t>
      </w:r>
      <w:r>
        <w:t xml:space="preserve"> </w:t>
      </w:r>
      <w:r>
        <w:rPr>
          <w:b/>
          <w:bCs/>
        </w:rPr>
        <w:t xml:space="preserve">temporary restraining order</w:t>
      </w:r>
      <w:r>
        <w:t xml:space="preserve"> </w:t>
      </w:r>
      <w:r>
        <w:t xml:space="preserve">freezing the Paramount–WBD merger in mid-July at the request of a 12-state coalition led by California AG Rob Bonta, alleging the deal would harm competition in theatrical distribution and cable licensing.</w:t>
      </w:r>
    </w:p>
    <w:p>
      <w:pPr>
        <w:pStyle w:val="Compact"/>
        <w:numPr>
          <w:ilvl w:val="0"/>
          <w:numId w:val="1001"/>
        </w:numPr>
      </w:pPr>
      <w:r>
        <w:t xml:space="preserve">That order was subsequently</w:t>
      </w:r>
      <w:r>
        <w:t xml:space="preserve"> </w:t>
      </w:r>
      <w:r>
        <w:rPr>
          <w:b/>
          <w:bCs/>
        </w:rPr>
        <w:t xml:space="preserve">extended</w:t>
      </w:r>
      <w:r>
        <w:t xml:space="preserve">, and Paramount then</w:t>
      </w:r>
      <w:r>
        <w:t xml:space="preserve"> </w:t>
      </w:r>
      <w:r>
        <w:rPr>
          <w:b/>
          <w:bCs/>
        </w:rPr>
        <w:t xml:space="preserve">agreed to postpone closing the deal until after a full antitrust trial on the merits</w:t>
      </w:r>
      <w:r>
        <w:t xml:space="preserve"> </w:t>
      </w:r>
      <w:r>
        <w:t xml:space="preserve">— pushing a potential close out as far as</w:t>
      </w:r>
      <w:r>
        <w:t xml:space="preserve"> </w:t>
      </w:r>
      <w:r>
        <w:rPr>
          <w:b/>
          <w:bCs/>
        </w:rPr>
        <w:t xml:space="preserve">June 2027</w:t>
      </w:r>
      <w:r>
        <w:t xml:space="preserve"> </w:t>
      </w:r>
      <w:r>
        <w:t xml:space="preserve">in a worst case, rather than the originally targeted Q3 2026.</w:t>
      </w:r>
    </w:p>
    <w:p>
      <w:pPr>
        <w:pStyle w:val="Compact"/>
        <w:numPr>
          <w:ilvl w:val="0"/>
          <w:numId w:val="1001"/>
        </w:numPr>
      </w:pPr>
      <w:r>
        <w:t xml:space="preserve">Separately, the</w:t>
      </w:r>
      <w:r>
        <w:t xml:space="preserve"> </w:t>
      </w:r>
      <w:r>
        <w:rPr>
          <w:b/>
          <w:bCs/>
        </w:rPr>
        <w:t xml:space="preserve">Writers Guild of America</w:t>
      </w:r>
      <w:r>
        <w:t xml:space="preserve"> </w:t>
      </w:r>
      <w:r>
        <w:t xml:space="preserve">has filed its own challenge to the transaction.</w:t>
      </w:r>
    </w:p>
    <w:p>
      <w:pPr>
        <w:pStyle w:val="Compact"/>
        <w:numPr>
          <w:ilvl w:val="0"/>
          <w:numId w:val="1001"/>
        </w:numPr>
      </w:pPr>
      <w:r>
        <w:t xml:space="preserve">More recently (per news flow into Aug 1–3), California Governor Newsom has reportedly urged AG Bonta to consider a</w:t>
      </w:r>
      <w:r>
        <w:t xml:space="preserve"> </w:t>
      </w:r>
      <w:r>
        <w:rPr>
          <w:b/>
          <w:bCs/>
        </w:rPr>
        <w:t xml:space="preserve">settlement</w:t>
      </w:r>
      <w:r>
        <w:t xml:space="preserve"> </w:t>
      </w:r>
      <w:r>
        <w:t xml:space="preserve">rather than pursue the litigation to a full trial — a mild positive signal, but nothing concrete yet.</w:t>
      </w:r>
    </w:p>
    <w:p>
      <w:pPr>
        <w:pStyle w:val="Compact"/>
        <w:numPr>
          <w:ilvl w:val="0"/>
          <w:numId w:val="1001"/>
        </w:numPr>
      </w:pPr>
      <w:r>
        <w:t xml:space="preserve">Wall Street sentiment reportedly sees roughly</w:t>
      </w:r>
      <w:r>
        <w:t xml:space="preserve"> </w:t>
      </w:r>
      <w:r>
        <w:rPr>
          <w:b/>
          <w:bCs/>
        </w:rPr>
        <w:t xml:space="preserve">50/50 odds</w:t>
      </w:r>
      <w:r>
        <w:t xml:space="preserve"> </w:t>
      </w:r>
      <w:r>
        <w:t xml:space="preserve">the deal ultimately closes, with some WBD executives privately hoping the litigation kills it outright.</w:t>
      </w:r>
    </w:p>
    <w:p>
      <w:pPr>
        <w:pStyle w:val="FirstParagraph"/>
      </w:pPr>
      <w:r>
        <w:t xml:space="preserve">This overhang is the single biggest swing factor for the stock, and management's tone on the call about litigation strategy, timing, and contingency planning will likely matter more than the quarter's actual numbers.</w:t>
      </w:r>
    </w:p>
    <w:bookmarkEnd w:id="10"/>
    <w:bookmarkStart w:id="11" w:name="X8329dfb3492093d195c756dba8c06b8d28bb75c"/>
    <w:p>
      <w:pPr>
        <w:pStyle w:val="Heading2"/>
      </w:pPr>
      <w:r>
        <w:t xml:space="preserve">2. The Ticking Fee: A Real, Growing Cash Cost of Delay</w:t>
      </w:r>
    </w:p>
    <w:p>
      <w:pPr>
        <w:pStyle w:val="FirstParagraph"/>
      </w:pPr>
      <w:r>
        <w:t xml:space="preserve">One nuance investors should understand going into the call: Paramount's merger agreement includes a</w:t>
      </w:r>
      <w:r>
        <w:t xml:space="preserve"> </w:t>
      </w:r>
      <w:r>
        <w:rPr>
          <w:b/>
          <w:bCs/>
        </w:rPr>
        <w:t xml:space="preserve">$0.25-per-share, per-quarter "ticking fee"** payable to WBD shareholders for every quarter the deal remains open beyond a specified date (effectively **October 1, 2026**). That works out to roughly **$</w:t>
      </w:r>
      <w:r>
        <w:rPr>
          <w:b/>
          <w:bCs/>
        </w:rPr>
        <w:t xml:space="preserve">650 million per quarter</w:t>
      </w:r>
      <w:r>
        <w:t xml:space="preserve"> </w:t>
      </w:r>
      <w:r>
        <w:t xml:space="preserve">(~$7 million/day) accruing directly to WBD holders the longer the deal remains unclosed — a mechanism originally designed to signal Paramount's confidence in regulatory approval, but one that now works against Paramount given the court-ordered delay. With the deal frozen and a trial-based timeline potentially extending into 2027, this fee could become a material and recurring cash drag, and analysts will want management's updated thinking on how it's being financed and whether it changes deal economics.</w:t>
      </w:r>
    </w:p>
    <w:bookmarkEnd w:id="11"/>
    <w:bookmarkStart w:id="12" w:name="X0e0d7eb5af6f4668807aca85742bf680f245365"/>
    <w:p>
      <w:pPr>
        <w:pStyle w:val="Heading2"/>
      </w:pPr>
      <w:r>
        <w:t xml:space="preserve">3. Credit/Balance Sheet Backdrop</w:t>
      </w:r>
    </w:p>
    <w:p>
      <w:pPr>
        <w:pStyle w:val="FirstParagraph"/>
      </w:pPr>
      <w:r>
        <w:t xml:space="preserve">PSKY's stand-alone leverage is already elevated, and the WBD transaction — funded via ~</w:t>
      </w:r>
      <m:oMath>
        <m:r>
          <m:t>47</m:t>
        </m:r>
        <m:r>
          <m:t>B</m:t>
        </m:r>
        <m:r>
          <m:t>i</m:t>
        </m:r>
        <m:r>
          <m:t>n</m:t>
        </m:r>
        <m:r>
          <m:t>n</m:t>
        </m:r>
        <m:r>
          <m:t>e</m:t>
        </m:r>
        <m:r>
          <m:t>w</m:t>
        </m:r>
        <m:r>
          <m:t>e</m:t>
        </m:r>
        <m:r>
          <m:t>q</m:t>
        </m:r>
        <m:r>
          <m:t>u</m:t>
        </m:r>
        <m:r>
          <m:t>i</m:t>
        </m:r>
        <m:r>
          <m:t>t</m:t>
        </m:r>
        <m:r>
          <m:t>y</m:t>
        </m:r>
        <m:r>
          <m:rPr>
            <m:sty m:val="p"/>
          </m:rPr>
          <m:t>/</m:t>
        </m:r>
        <m:r>
          <m:t>P</m:t>
        </m:r>
        <m:r>
          <m:t>I</m:t>
        </m:r>
        <m:r>
          <m:t>P</m:t>
        </m:r>
        <m:r>
          <m:t>E</m:t>
        </m:r>
        <m:r>
          <m:t>c</m:t>
        </m:r>
        <m:r>
          <m:t>o</m:t>
        </m:r>
        <m:r>
          <m:t>m</m:t>
        </m:r>
        <m:r>
          <m:t>m</m:t>
        </m:r>
        <m:r>
          <m:t>i</m:t>
        </m:r>
        <m:r>
          <m:t>t</m:t>
        </m:r>
        <m:r>
          <m:t>m</m:t>
        </m:r>
        <m:r>
          <m:t>e</m:t>
        </m:r>
        <m:r>
          <m:t>n</m:t>
        </m:r>
        <m:r>
          <m:t>t</m:t>
        </m:r>
        <m:r>
          <m:t>s</m:t>
        </m:r>
        <m:r>
          <m:t>p</m:t>
        </m:r>
        <m:r>
          <m:t>l</m:t>
        </m:r>
        <m:r>
          <m:t>u</m:t>
        </m:r>
        <m:r>
          <m:t>s</m:t>
        </m:r>
        <m:r>
          <m:t>m</m:t>
        </m:r>
        <m:r>
          <m:t>o</m:t>
        </m:r>
        <m:r>
          <m:t>r</m:t>
        </m:r>
        <m:r>
          <m:t>e</m:t>
        </m:r>
        <m:r>
          <m:t>t</m:t>
        </m:r>
        <m:r>
          <m:t>h</m:t>
        </m:r>
        <m:r>
          <m:t>a</m:t>
        </m:r>
        <m:r>
          <m:t>n</m:t>
        </m:r>
        <m:r>
          <m:rPr>
            <m:sty m:val="p"/>
          </m:rPr>
          <m:t>*</m:t>
        </m:r>
        <m:r>
          <m:rPr>
            <m:sty m:val="p"/>
          </m:rPr>
          <m:t>*</m:t>
        </m:r>
      </m:oMath>
      <w:r>
        <w:t xml:space="preserve">54B in debt** (a</w:t>
      </w:r>
      <w:r>
        <w:t xml:space="preserve"> </w:t>
      </w:r>
      <m:oMath>
        <m:r>
          <m:t>10</m:t>
        </m:r>
        <m:r>
          <m:t>B</m:t>
        </m:r>
        <m:r>
          <m:t>p</m:t>
        </m:r>
        <m:r>
          <m:t>e</m:t>
        </m:r>
        <m:r>
          <m:t>r</m:t>
        </m:r>
        <m:r>
          <m:t>m</m:t>
        </m:r>
        <m:r>
          <m:t>a</m:t>
        </m:r>
        <m:r>
          <m:t>n</m:t>
        </m:r>
        <m:r>
          <m:t>e</m:t>
        </m:r>
        <m:r>
          <m:t>n</m:t>
        </m:r>
        <m:r>
          <m:t>t</m:t>
        </m:r>
        <m:r>
          <m:t>f</m:t>
        </m:r>
        <m:r>
          <m:t>i</m:t>
        </m:r>
        <m:r>
          <m:t>n</m:t>
        </m:r>
        <m:r>
          <m:t>a</m:t>
        </m:r>
        <m:r>
          <m:t>n</m:t>
        </m:r>
        <m:r>
          <m:t>c</m:t>
        </m:r>
        <m:r>
          <m:t>i</m:t>
        </m:r>
        <m:r>
          <m:t>n</m:t>
        </m:r>
        <m:r>
          <m:t>g</m:t>
        </m:r>
        <m:r>
          <m:t>p</m:t>
        </m:r>
        <m:r>
          <m:t>a</m:t>
        </m:r>
        <m:r>
          <m:t>c</m:t>
        </m:r>
        <m:r>
          <m:t>k</m:t>
        </m:r>
        <m:r>
          <m:t>a</m:t>
        </m:r>
        <m:r>
          <m:t>g</m:t>
        </m:r>
        <m:r>
          <m:t>e</m:t>
        </m:r>
        <m:r>
          <m:t>p</m:t>
        </m:r>
        <m:r>
          <m:t>l</m:t>
        </m:r>
        <m:r>
          <m:t>u</m:t>
        </m:r>
        <m:r>
          <m:t>s</m:t>
        </m:r>
        <m:r>
          <m:t>a</m:t>
        </m:r>
        <m:r>
          <m:t>s</m:t>
        </m:r>
        <m:r>
          <m:t>i</m:t>
        </m:r>
        <m:r>
          <m:t>n</m:t>
        </m:r>
        <m:r>
          <m:t>c</m:t>
        </m:r>
        <m:r>
          <m:t>e</m:t>
        </m:r>
        <m:r>
          <m:rPr>
            <m:sty m:val="p"/>
          </m:rPr>
          <m:t>−</m:t>
        </m:r>
        <m:r>
          <m:t>s</m:t>
        </m:r>
        <m:r>
          <m:t>y</m:t>
        </m:r>
        <m:r>
          <m:t>n</m:t>
        </m:r>
        <m:r>
          <m:t>d</m:t>
        </m:r>
        <m:r>
          <m:t>i</m:t>
        </m:r>
        <m:r>
          <m:t>c</m:t>
        </m:r>
        <m:r>
          <m:t>a</m:t>
        </m:r>
        <m:r>
          <m:t>t</m:t>
        </m:r>
        <m:r>
          <m:t>e</m:t>
        </m:r>
        <m:r>
          <m:t>d</m:t>
        </m:r>
        <m:r>
          <m:t> </m:t>
        </m:r>
      </m:oMath>
      <w:r>
        <w:t xml:space="preserve">49B bridge) — would push it materially higher. Rating agencies have flagged this:</w:t>
      </w:r>
    </w:p>
    <w:p>
      <w:pPr>
        <w:pStyle w:val="Compact"/>
        <w:numPr>
          <w:ilvl w:val="0"/>
          <w:numId w:val="1002"/>
        </w:numPr>
      </w:pPr>
      <w:r>
        <w:t xml:space="preserve">S&amp;P had already put PSKY on CreditWatch negative given expected leverage well above its 4.25x downgrade threshold (leverage was already ~4.8x at YE2025 stand-alone).</w:t>
      </w:r>
    </w:p>
    <w:p>
      <w:pPr>
        <w:pStyle w:val="Compact"/>
        <w:numPr>
          <w:ilvl w:val="0"/>
          <w:numId w:val="1002"/>
        </w:numPr>
      </w:pPr>
      <w:r>
        <w:t xml:space="preserve">S&amp;P has projected combined-company leverage (adjusted debt/EBITDA) around</w:t>
      </w:r>
      <w:r>
        <w:t xml:space="preserve"> </w:t>
      </w:r>
      <w:r>
        <w:rPr>
          <w:b/>
          <w:bCs/>
        </w:rPr>
        <w:t xml:space="preserve">7.6x in 2026</w:t>
      </w:r>
      <w:r>
        <w:t xml:space="preserve">, not expected to fall below 5x until 2029, and has signaled further ratings pressure.</w:t>
      </w:r>
    </w:p>
    <w:p>
      <w:pPr>
        <w:pStyle w:val="Compact"/>
        <w:numPr>
          <w:ilvl w:val="0"/>
          <w:numId w:val="1002"/>
        </w:numPr>
      </w:pPr>
      <w:r>
        <w:t xml:space="preserve">Fitch had already moved PSKY's debt to junk-adjacent status tied to deal uncertainty.</w:t>
      </w:r>
    </w:p>
    <w:p>
      <w:pPr>
        <w:pStyle w:val="FirstParagraph"/>
      </w:pPr>
      <w:r>
        <w:t xml:space="preserve">As of Q1'26, PSKY carried</w:t>
      </w:r>
      <w:r>
        <w:t xml:space="preserve"> </w:t>
      </w:r>
      <w:r>
        <w:rPr>
          <w:b/>
          <w:bCs/>
        </w:rPr>
        <w:t xml:space="preserve">$1.9B cash and $15.5B gross debt</w:t>
      </w:r>
      <w:r>
        <w:t xml:space="preserve"> </w:t>
      </w:r>
      <w:r>
        <w:t xml:space="preserve">on a stand-alone basis, after drawing</w:t>
      </w:r>
      <w:r>
        <w:t xml:space="preserve"> </w:t>
      </w:r>
      <m:oMath>
        <m:r>
          <m:t>2.15</m:t>
        </m:r>
        <m:r>
          <m:t>B</m:t>
        </m:r>
        <m:r>
          <m:t>o</m:t>
        </m:r>
        <m:r>
          <m:t>n</m:t>
        </m:r>
        <m:r>
          <m:t>i</m:t>
        </m:r>
        <m:r>
          <m:t>t</m:t>
        </m:r>
        <m:r>
          <m:t>s</m:t>
        </m:r>
        <m:r>
          <m:t>r</m:t>
        </m:r>
        <m:r>
          <m:t>e</m:t>
        </m:r>
        <m:r>
          <m:t>v</m:t>
        </m:r>
        <m:r>
          <m:t>o</m:t>
        </m:r>
        <m:r>
          <m:t>l</m:t>
        </m:r>
        <m:r>
          <m:t>v</m:t>
        </m:r>
        <m:r>
          <m:t>e</m:t>
        </m:r>
        <m:r>
          <m:t>r</m:t>
        </m:r>
        <m:r>
          <m:t>t</m:t>
        </m:r>
        <m:r>
          <m:t>o</m:t>
        </m:r>
        <m:r>
          <m:t>f</m:t>
        </m:r>
        <m:r>
          <m:t>u</m:t>
        </m:r>
        <m:r>
          <m:t>n</m:t>
        </m:r>
        <m:r>
          <m:t>d</m:t>
        </m:r>
        <m:r>
          <m:t>a</m:t>
        </m:r>
        <m:r>
          <m:rPr>
            <m:sty m:val="p"/>
          </m:rPr>
          <m:t>*</m:t>
        </m:r>
        <m:r>
          <m:rPr>
            <m:sty m:val="p"/>
          </m:rPr>
          <m:t>*</m:t>
        </m:r>
      </m:oMath>
      <w:r>
        <w:t xml:space="preserve">2.8B termination fee** WBD owed Netflix upon signing with Paramount — a cost PSKY fronted and expects to recoup from PIPE proceeds at close. Watch for updates on cash position, revolver usage, and any commentary on refinancing the bridge facility given the deal delay.</w:t>
      </w:r>
    </w:p>
    <w:bookmarkEnd w:id="12"/>
    <w:bookmarkStart w:id="13" w:name="Xa57c3110f93f1dd4bfcf4e1c3fcda45e2a1232c"/>
    <w:p>
      <w:pPr>
        <w:pStyle w:val="Heading2"/>
      </w:pPr>
      <w:r>
        <w:t xml:space="preserve">4. Q1 Recap — The Underlying Business Is Actually Working</w:t>
      </w:r>
    </w:p>
    <w:p>
      <w:pPr>
        <w:pStyle w:val="FirstParagraph"/>
      </w:pPr>
      <w:r>
        <w:t xml:space="preserve">Away from the M&amp;A drama, Q1'26 (reported May 4) was a genuinely solid quarter that beat expectations: revenue of $7.3 billion grew 2% year-over-year, with profitability exceeding company estimates, and Adjusted EBITDA rose 59% y/y to $1.16 billion (15.8% margin). Segment highlights:</w:t>
      </w:r>
    </w:p>
    <w:p>
      <w:pPr>
        <w:pStyle w:val="Compact"/>
        <w:numPr>
          <w:ilvl w:val="0"/>
          <w:numId w:val="1003"/>
        </w:numPr>
      </w:pPr>
      <w:r>
        <w:rPr>
          <w:b/>
          <w:bCs/>
        </w:rPr>
        <w:t xml:space="preserve">Direct-to-Consumer:</w:t>
      </w:r>
      <w:r>
        <w:t xml:space="preserve"> </w:t>
      </w:r>
      <w:r>
        <w:t xml:space="preserve">DTC revenue grew 11% y/y to $2.4 billion, led by 17% growth at Paramount+, which added 0.7 million subscribers (or +1.9 million excluding the planned exit of low-ARPU international hard-bundle subscribers); DTC Adjusted EBITDA improved to $251 million (10% margin) from roughly breakeven a year earlier.</w:t>
      </w:r>
    </w:p>
    <w:p>
      <w:pPr>
        <w:pStyle w:val="Compact"/>
        <w:numPr>
          <w:ilvl w:val="0"/>
          <w:numId w:val="1003"/>
        </w:numPr>
      </w:pPr>
      <w:r>
        <w:rPr>
          <w:b/>
          <w:bCs/>
        </w:rPr>
        <w:t xml:space="preserve">Content momentum:</w:t>
      </w:r>
      <w:r>
        <w:t xml:space="preserve"> </w:t>
      </w:r>
      <w:r>
        <w:t xml:space="preserve">Landman became Paramount+'s most-watched series ever, The Madison drew 12.5 million global viewers in its first month, Marshals topped 18.5 million global viewers, and Scream 7 became the highest-grossing installment in that franchise's 30-year history.</w:t>
      </w:r>
    </w:p>
    <w:p>
      <w:pPr>
        <w:pStyle w:val="Compact"/>
        <w:numPr>
          <w:ilvl w:val="0"/>
          <w:numId w:val="1003"/>
        </w:numPr>
      </w:pPr>
      <w:r>
        <w:rPr>
          <w:b/>
          <w:bCs/>
        </w:rPr>
        <w:t xml:space="preserve">TV Media:</w:t>
      </w:r>
      <w:r>
        <w:t xml:space="preserve"> </w:t>
      </w:r>
      <w:r>
        <w:t xml:space="preserve">CBS held 13 of the top 20 primetime series, an achievement no broadcast network has matched since the early 1990s; TV Media Adjusted EBITDA grew 11% to $1.1 billion (29% margin) as cost cuts offset revenue declines.</w:t>
      </w:r>
    </w:p>
    <w:p>
      <w:pPr>
        <w:pStyle w:val="Compact"/>
        <w:numPr>
          <w:ilvl w:val="0"/>
          <w:numId w:val="1003"/>
        </w:numPr>
      </w:pPr>
      <w:r>
        <w:rPr>
          <w:b/>
          <w:bCs/>
        </w:rPr>
        <w:t xml:space="preserve">Cost program:</w:t>
      </w:r>
      <w:r>
        <w:t xml:space="preserve"> </w:t>
      </w:r>
      <w:r>
        <w:t xml:space="preserve">Management reaffirmed a target of $3B+ in run-rate efficiencies through 2027, with more than $2.5 billion expected by year-end 2026.</w:t>
      </w:r>
    </w:p>
    <w:p>
      <w:pPr>
        <w:pStyle w:val="Compact"/>
        <w:numPr>
          <w:ilvl w:val="0"/>
          <w:numId w:val="1003"/>
        </w:numPr>
      </w:pPr>
      <w:r>
        <w:t xml:space="preserve">On the call, management pointedly</w:t>
      </w:r>
      <w:r>
        <w:t xml:space="preserve"> </w:t>
      </w:r>
      <w:r>
        <w:rPr>
          <w:b/>
          <w:bCs/>
        </w:rPr>
        <w:t xml:space="preserve">declined to take deal-specific questions</w:t>
      </w:r>
      <w:r>
        <w:t xml:space="preserve">, repeatedly steering analysts back to the standalone business — a pattern likely to repeat on this call given active litigation.</w:t>
      </w:r>
    </w:p>
    <w:bookmarkEnd w:id="13"/>
    <w:bookmarkStart w:id="14" w:name="X4a5948b0eff3a6cb068d74655c90cd3805f1e04"/>
    <w:p>
      <w:pPr>
        <w:pStyle w:val="Heading2"/>
      </w:pPr>
      <w:r>
        <w:t xml:space="preserve">5. Q2 Guidance &amp; Street Expectations</w:t>
      </w:r>
    </w:p>
    <w:p>
      <w:pPr>
        <w:pStyle w:val="FirstParagraph"/>
      </w:pPr>
      <w:r>
        <w:t xml:space="preserve">Management's own Q2'26 guidance (issued with Q1 results):</w:t>
      </w:r>
    </w:p>
    <w:p>
      <w:pPr>
        <w:pStyle w:val="Compact"/>
        <w:numPr>
          <w:ilvl w:val="0"/>
          <w:numId w:val="1004"/>
        </w:numPr>
      </w:pPr>
      <w:r>
        <w:rPr>
          <w:b/>
          <w:bCs/>
        </w:rPr>
        <w:t xml:space="preserve">Revenue:</w:t>
      </w:r>
      <w:r>
        <w:t xml:space="preserve"> </w:t>
      </w:r>
      <m:oMath>
        <m:r>
          <m:t>6.75</m:t>
        </m:r>
        <m:r>
          <m:rPr>
            <m:sty m:val="p"/>
          </m:rPr>
          <m:t>–</m:t>
        </m:r>
      </m:oMath>
      <w:r>
        <w:t xml:space="preserve">6.95 billion (roughly -1% to +1% y/y), reflecting a tough comp against Q2'25's Mission: Impossible—The Final Reckoning theatrical release and lapping NCAA Final Four ad revenue.</w:t>
      </w:r>
    </w:p>
    <w:p>
      <w:pPr>
        <w:pStyle w:val="Compact"/>
        <w:numPr>
          <w:ilvl w:val="0"/>
          <w:numId w:val="1004"/>
        </w:numPr>
      </w:pPr>
      <w:r>
        <w:rPr>
          <w:b/>
          <w:bCs/>
        </w:rPr>
        <w:t xml:space="preserve">Adjusted EBITDA:</w:t>
      </w:r>
      <w:r>
        <w:t xml:space="preserve"> </w:t>
      </w:r>
      <m:oMath>
        <m:r>
          <m:t>0.9</m:t>
        </m:r>
        <m:r>
          <m:rPr>
            <m:sty m:val="p"/>
          </m:rPr>
          <m:t>–</m:t>
        </m:r>
      </m:oMath>
      <w:r>
        <w:t xml:space="preserve">1.0 billion (~13.9% margin at midpoint), including ~$75 million of stock-based compensation and "several hundred million" of transformation costs that will weigh on free cash flow.</w:t>
      </w:r>
    </w:p>
    <w:p>
      <w:pPr>
        <w:pStyle w:val="Compact"/>
        <w:numPr>
          <w:ilvl w:val="0"/>
          <w:numId w:val="1004"/>
        </w:numPr>
      </w:pPr>
      <w:r>
        <w:rPr>
          <w:b/>
          <w:bCs/>
        </w:rPr>
        <w:t xml:space="preserve">Paramount+ subscribers:</w:t>
      </w:r>
      <w:r>
        <w:t xml:space="preserve"> </w:t>
      </w:r>
      <w:r>
        <w:t xml:space="preserve">expected roughly flat quarter-over-quarter due to the planned exit of ~2 million international hard-bundle subscribers, even as underlying growth stays healthy.</w:t>
      </w:r>
    </w:p>
    <w:p>
      <w:pPr>
        <w:pStyle w:val="Compact"/>
        <w:numPr>
          <w:ilvl w:val="0"/>
          <w:numId w:val="1004"/>
        </w:numPr>
      </w:pPr>
      <w:r>
        <w:rPr>
          <w:b/>
          <w:bCs/>
        </w:rPr>
        <w:t xml:space="preserve">Full-year 2026:</w:t>
      </w:r>
      <w:r>
        <w:t xml:space="preserve"> </w:t>
      </w:r>
      <w:r>
        <w:t xml:space="preserve">unchanged targets of ~</w:t>
      </w:r>
      <m:oMath>
        <m:r>
          <m:t>30</m:t>
        </m:r>
        <m:r>
          <m:t>b</m:t>
        </m:r>
        <m:r>
          <m:t>i</m:t>
        </m:r>
        <m:r>
          <m:t>l</m:t>
        </m:r>
        <m:r>
          <m:t>l</m:t>
        </m:r>
        <m:r>
          <m:t>i</m:t>
        </m:r>
        <m:r>
          <m:t>o</m:t>
        </m:r>
        <m:r>
          <m:t>n</m:t>
        </m:r>
        <m:r>
          <m:t>r</m:t>
        </m:r>
        <m:r>
          <m:t>e</m:t>
        </m:r>
        <m:r>
          <m:t>v</m:t>
        </m:r>
        <m:r>
          <m:t>e</m:t>
        </m:r>
        <m:r>
          <m:t>n</m:t>
        </m:r>
        <m:r>
          <m:t>u</m:t>
        </m:r>
        <m:r>
          <m:t>e</m:t>
        </m:r>
        <m:r>
          <m:rPr>
            <m:sty m:val="p"/>
          </m:rPr>
          <m:t>(</m:t>
        </m:r>
        <m:r>
          <m:rPr>
            <m:sty m:val="p"/>
          </m:rPr>
          <m:t>+</m:t>
        </m:r>
        <m:r>
          <m:t>4</m:t>
        </m:r>
      </m:oMath>
      <w:r>
        <w:t xml:space="preserve">3.8 billion Adjusted EBITDA (12.7% margin), with ~5% free cash flow conversion before ~$800 million of transformation costs.</w:t>
      </w:r>
    </w:p>
    <w:p>
      <w:pPr>
        <w:pStyle w:val="FirstParagraph"/>
      </w:pPr>
      <w:r>
        <w:t xml:space="preserve">Current Street consensus for the print:</w:t>
      </w:r>
      <w:r>
        <w:t xml:space="preserve"> </w:t>
      </w:r>
      <w:r>
        <w:rPr>
          <w:b/>
          <w:bCs/>
        </w:rPr>
        <w:t xml:space="preserve">revenue of ~</w:t>
      </w:r>
      <m:oMath>
        <m:r>
          <m:t>6.88</m:t>
        </m:r>
        <m:r>
          <m:t>b</m:t>
        </m:r>
        <m:r>
          <m:t>i</m:t>
        </m:r>
        <m:r>
          <m:t>l</m:t>
        </m:r>
        <m:r>
          <m:t>l</m:t>
        </m:r>
        <m:r>
          <m:t>i</m:t>
        </m:r>
        <m:r>
          <m:t>o</m:t>
        </m:r>
        <m:r>
          <m:t>n</m:t>
        </m:r>
        <m:r>
          <m:rPr>
            <m:sty m:val="p"/>
          </m:rPr>
          <m:t>*</m:t>
        </m:r>
        <m:r>
          <m:rPr>
            <m:sty m:val="p"/>
          </m:rPr>
          <m:t>*</m:t>
        </m:r>
        <m:r>
          <m:rPr>
            <m:sty m:val="p"/>
          </m:rPr>
          <m:t>(</m:t>
        </m:r>
        <m:r>
          <m:t>i</m:t>
        </m:r>
        <m:r>
          <m:t>m</m:t>
        </m:r>
        <m:r>
          <m:t>p</m:t>
        </m:r>
        <m:r>
          <m:t>l</m:t>
        </m:r>
        <m:r>
          <m:t>y</m:t>
        </m:r>
        <m:r>
          <m:t>i</m:t>
        </m:r>
        <m:r>
          <m:t>n</m:t>
        </m:r>
        <m:r>
          <m:t>g</m:t>
        </m:r>
        <m:r>
          <m:t> </m:t>
        </m:r>
        <m:r>
          <m:t>0.5</m:t>
        </m:r>
      </m:oMath>
      <w:r>
        <w:rPr>
          <w:b/>
          <w:bCs/>
        </w:rPr>
        <w:t xml:space="preserve">0.15</w:t>
      </w:r>
      <w:r>
        <w:t xml:space="preserve">, down sharply from $0.46 a year ago on continued transaction-related costs and TV Media declines. PSKY has beaten Zacks consensus in three of the last four quarters but with mixed magnitude, and estimates for the quarter have been static over the past 30 days, suggesting no major pre-print sentiment shift on the fundamentals (as opposed to the deal headlines).</w:t>
      </w:r>
    </w:p>
    <w:bookmarkEnd w:id="14"/>
    <w:bookmarkStart w:id="15" w:name="Xce4b01ff0f26a6dbc622224197c0fbf2ce447cd"/>
    <w:p>
      <w:pPr>
        <w:pStyle w:val="Heading2"/>
      </w:pPr>
      <w:r>
        <w:t xml:space="preserve">6. Key Questions/Things to Watch on the Call</w:t>
      </w:r>
    </w:p>
    <w:p>
      <w:pPr>
        <w:pStyle w:val="Compact"/>
        <w:numPr>
          <w:ilvl w:val="0"/>
          <w:numId w:val="1005"/>
        </w:numPr>
      </w:pPr>
      <w:r>
        <w:rPr>
          <w:b/>
          <w:bCs/>
        </w:rPr>
        <w:t xml:space="preserve">Deal timeline and trial strategy</w:t>
      </w:r>
      <w:r>
        <w:t xml:space="preserve"> </w:t>
      </w:r>
      <w:r>
        <w:t xml:space="preserve">– Any update on settlement discussions (given reported Newsom pressure on Bonta), trial scheduling, or whether Paramount still targets closing this cycle vs. into 2027.</w:t>
      </w:r>
    </w:p>
    <w:p>
      <w:pPr>
        <w:pStyle w:val="Compact"/>
        <w:numPr>
          <w:ilvl w:val="0"/>
          <w:numId w:val="1005"/>
        </w:numPr>
      </w:pPr>
      <w:r>
        <w:rPr>
          <w:b/>
          <w:bCs/>
        </w:rPr>
        <w:t xml:space="preserve">Ticking fee mechanics</w:t>
      </w:r>
      <w:r>
        <w:t xml:space="preserve"> </w:t>
      </w:r>
      <w:r>
        <w:t xml:space="preserve">– Confirmation of accrual timing/amount and how it's being funded; any renegotiation of deal terms.</w:t>
      </w:r>
    </w:p>
    <w:p>
      <w:pPr>
        <w:pStyle w:val="Compact"/>
        <w:numPr>
          <w:ilvl w:val="0"/>
          <w:numId w:val="1005"/>
        </w:numPr>
      </w:pPr>
      <w:r>
        <w:rPr>
          <w:b/>
          <w:bCs/>
        </w:rPr>
        <w:t xml:space="preserve">Financing flexibility</w:t>
      </w:r>
      <w:r>
        <w:t xml:space="preserve"> </w:t>
      </w:r>
      <w:r>
        <w:t xml:space="preserve">– Status of the ~$49B bridge facility, permanent financing plans, and covenant/rating headroom given the court-ordered delay.</w:t>
      </w:r>
    </w:p>
    <w:p>
      <w:pPr>
        <w:pStyle w:val="Compact"/>
        <w:numPr>
          <w:ilvl w:val="0"/>
          <w:numId w:val="1005"/>
        </w:numPr>
      </w:pPr>
      <w:r>
        <w:rPr>
          <w:b/>
          <w:bCs/>
        </w:rPr>
        <w:t xml:space="preserve">Divestiture options</w:t>
      </w:r>
      <w:r>
        <w:t xml:space="preserve"> </w:t>
      </w:r>
      <w:r>
        <w:t xml:space="preserve">– Press commentary has floated a potential</w:t>
      </w:r>
      <w:r>
        <w:t xml:space="preserve"> </w:t>
      </w:r>
      <w:r>
        <w:rPr>
          <w:b/>
          <w:bCs/>
        </w:rPr>
        <w:t xml:space="preserve">CNN sale</w:t>
      </w:r>
      <w:r>
        <w:t xml:space="preserve"> </w:t>
      </w:r>
      <w:r>
        <w:t xml:space="preserve">as a way to defuse regulatory/antitrust opposition; any confirmation or denial would be market-moving.</w:t>
      </w:r>
    </w:p>
    <w:p>
      <w:pPr>
        <w:pStyle w:val="Compact"/>
        <w:numPr>
          <w:ilvl w:val="0"/>
          <w:numId w:val="1005"/>
        </w:numPr>
      </w:pPr>
      <w:r>
        <w:rPr>
          <w:b/>
          <w:bCs/>
        </w:rPr>
        <w:t xml:space="preserve">DTC trajectory</w:t>
      </w:r>
      <w:r>
        <w:t xml:space="preserve"> </w:t>
      </w:r>
      <w:r>
        <w:t xml:space="preserve">– Whether Paramount+ ad revenue continues its sequential improvement and whether underlying (ex-hard-bundle) subscriber growth is holding up into H2, when the content slate (Dutton Ranch, Taylor Sheridan titles, new UFC cadence) ramps.</w:t>
      </w:r>
    </w:p>
    <w:p>
      <w:pPr>
        <w:pStyle w:val="Compact"/>
        <w:numPr>
          <w:ilvl w:val="0"/>
          <w:numId w:val="1005"/>
        </w:numPr>
      </w:pPr>
      <w:r>
        <w:rPr>
          <w:b/>
          <w:bCs/>
        </w:rPr>
        <w:t xml:space="preserve">TV Media trends</w:t>
      </w:r>
      <w:r>
        <w:t xml:space="preserve"> </w:t>
      </w:r>
      <w:r>
        <w:t xml:space="preserve">– Pace of affiliate/advertising erosion versus the modest political-ad tailwind expected in 2026.</w:t>
      </w:r>
    </w:p>
    <w:p>
      <w:pPr>
        <w:pStyle w:val="Compact"/>
        <w:numPr>
          <w:ilvl w:val="0"/>
          <w:numId w:val="1005"/>
        </w:numPr>
      </w:pPr>
      <w:r>
        <w:rPr>
          <w:b/>
          <w:bCs/>
        </w:rPr>
        <w:t xml:space="preserve">Standalone cost/free cash flow</w:t>
      </w:r>
      <w:r>
        <w:t xml:space="preserve"> </w:t>
      </w:r>
      <w:r>
        <w:t xml:space="preserve">– Whether transformation costs and content-timing benefits flagged in Q1 (partly tied to Skydance purchase-accounting content write-downs) normalize as expected.</w:t>
      </w:r>
    </w:p>
    <w:bookmarkEnd w:id="15"/>
    <w:bookmarkStart w:id="16" w:name="X7a3bbf556adfc11a6000f5b234b318bdc6ae48e"/>
    <w:p>
      <w:pPr>
        <w:pStyle w:val="Heading2"/>
      </w:pPr>
      <w:r>
        <w:t xml:space="preserve">7. Bottom Line</w:t>
      </w:r>
    </w:p>
    <w:p>
      <w:pPr>
        <w:pStyle w:val="FirstParagraph"/>
      </w:pPr>
      <w:r>
        <w:t xml:space="preserve">Operationally, Paramount Skydance looks like a media company doing the right things: cutting costs, growing streaming profitably, investing in a broader film slate, and maintaining a dominant broadcast position via CBS. But none of that currently matters as much to the stock price as the fate of the WBD acquisition, which is now legally frozen, financially penalized by a growing ticking fee, and clouded by elevated pro forma leverage that has already drawn negative rating-agency attention. Investors should expect a solid but secondary "beat/miss" on the reported numbers, with the real market-moving content likely to be management's tone and disclosure (or lack thereof) on the merger litigation, financing, and timeline — topics management has historically been reluctant to address in detail on these calls.</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2026-08-04T01:53:47Z</dcterms:created>
  <dcterms:modified xsi:type="dcterms:W3CDTF">2026-08-04T01:53:47Z</dcterms:modified>
</cp:coreProperties>
</file>

<file path=docProps/custom.xml><?xml version="1.0" encoding="utf-8"?>
<Properties xmlns="http://schemas.openxmlformats.org/officeDocument/2006/custom-properties" xmlns:vt="http://schemas.openxmlformats.org/officeDocument/2006/docPropsVTypes"/>
</file>