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sky-earnings-predictions--2026-08-04"/>
    <w:p>
      <w:pPr>
        <w:pStyle w:val="Heading1"/>
      </w:pPr>
      <w:r>
        <w:t xml:space="preserve">PSKY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~$6.92B vs. cons $6.88B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~$0.98B vs. cons $0.95B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Paramount+ subscribers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~79.7M vs. cons 79.5M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~$30.0B vs. cons $30.0B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~$3.80B vs. cons $3.80B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transformation costs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~$0.80B vs. cons $0.80B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WBD transaction closing timing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~Q2 2027 vs. cons Q2 2027 (transaction close)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+0.9% (FADE)</w:t>
            </w:r>
          </w:p>
        </w:tc>
        <w:tc>
          <w:tcPr/>
          <w:p>
            <w:pPr>
              <w:pStyle w:val="Compact"/>
            </w:pPr>
            <w:r>
              <w:t xml:space="preserve">A modest EBITDA beat can drive an initial relief rally, but unchanged $30.0B revenue and $3.80B EBITDA guidance implies limited upward estimate revisions. The required second-half execution, heavier content expense, weak cash conversion and unresolved WBD timing should pull the five-day residual back toward +0.9% after a +2.8% day-one move.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2026-08-04T01:47:22Z</dcterms:created>
  <dcterms:modified xsi:type="dcterms:W3CDTF">2026-08-04T01:47:22Z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