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psky-q2-2026-earnings-preview"/>
    <w:p>
      <w:pPr>
        <w:pStyle w:val="Heading1"/>
      </w:pPr>
      <w:r>
        <w:t xml:space="preserve">PSKY Q2 2026 Earnings Preview</w:t>
      </w:r>
    </w:p>
    <w:p>
      <w:pPr>
        <w:pStyle w:val="BlockText"/>
      </w:pPr>
      <w:r>
        <w:rPr>
          <w:b/>
          <w:bCs/>
        </w:rPr>
        <w:t xml:space="preserve">Timing clarification:</w:t>
      </w:r>
      <w:r>
        <w:t xml:space="preserve"> </w:t>
      </w:r>
      <w:r>
        <w:t xml:space="preserve">Paramount Skydance is scheduled to report</w:t>
      </w:r>
      <w:r>
        <w:t xml:space="preserve"> </w:t>
      </w:r>
      <w:r>
        <w:rPr>
          <w:b/>
          <w:bCs/>
        </w:rPr>
        <w:t xml:space="preserve">today, Tuesday, August 4, 2026</w:t>
      </w:r>
      <w:r>
        <w:t xml:space="preserve">, after the market close—not tomorrow. The earnings call begins at</w:t>
      </w:r>
      <w:r>
        <w:t xml:space="preserve"> </w:t>
      </w:r>
      <w:r>
        <w:rPr>
          <w:b/>
          <w:bCs/>
        </w:rPr>
        <w:t xml:space="preserve">5:00 p.m. ET</w:t>
      </w:r>
      <w:r>
        <w:t xml:space="preserve">.</w:t>
      </w:r>
    </w:p>
    <w:bookmarkStart w:id="9" w:name="investment-setup"/>
    <w:p>
      <w:pPr>
        <w:pStyle w:val="Heading2"/>
      </w:pPr>
      <w:r>
        <w:t xml:space="preserve">Investment setup</w:t>
      </w:r>
    </w:p>
    <w:p>
      <w:pPr>
        <w:pStyle w:val="FirstParagraph"/>
      </w:pPr>
      <w:r>
        <w:t xml:space="preserve">PSKY enters the report with two very different stories:</w:t>
      </w:r>
    </w:p>
    <w:p>
      <w:pPr>
        <w:pStyle w:val="Compact"/>
        <w:numPr>
          <w:ilvl w:val="0"/>
          <w:numId w:val="1001"/>
        </w:numPr>
      </w:pPr>
      <w:r>
        <w:rPr>
          <w:b/>
          <w:bCs/>
        </w:rPr>
        <w:t xml:space="preserve">The standalone business is performing better operationally</w:t>
      </w:r>
      <w:r>
        <w:t xml:space="preserve">, helped by streaming growth, cost reductions and a stronger content slate.</w:t>
      </w:r>
    </w:p>
    <w:p>
      <w:pPr>
        <w:pStyle w:val="Compact"/>
        <w:numPr>
          <w:ilvl w:val="0"/>
          <w:numId w:val="1001"/>
        </w:numPr>
      </w:pPr>
      <w:r>
        <w:rPr>
          <w:b/>
          <w:bCs/>
        </w:rPr>
        <w:t xml:space="preserve">The proposed Warner Bros. Discovery acquisition now dominates the equity story</w:t>
      </w:r>
      <w:r>
        <w:t xml:space="preserve">, creating substantial regulatory, financing, leverage and dilution uncertainty.</w:t>
      </w:r>
    </w:p>
    <w:p>
      <w:pPr>
        <w:pStyle w:val="FirstParagraph"/>
      </w:pPr>
      <w:r>
        <w:t xml:space="preserve">The stock closed at</w:t>
      </w:r>
      <w:r>
        <w:t xml:space="preserve"> </w:t>
      </w:r>
      <w:r>
        <w:rPr>
          <w:b/>
          <w:bCs/>
        </w:rPr>
        <w:t xml:space="preserve">$8.24 on August 3</w:t>
      </w:r>
      <w:r>
        <w:t xml:space="preserve">, down roughly</w:t>
      </w:r>
      <w:r>
        <w:t xml:space="preserve"> </w:t>
      </w:r>
      <w:r>
        <w:rPr>
          <w:b/>
          <w:bCs/>
        </w:rPr>
        <w:t xml:space="preserve">26% from $11.13 on May 4</w:t>
      </w:r>
      <w:r>
        <w:t xml:space="preserve">, the date of the prior earnings report. That decline suggests expectations are already cautious. A modest beat against quarterly guidance may help, but the more consequential reaction will probably depend on management’s comments about the WBD closing path, financing and the economics for existing PSKY shareholders.</w:t>
      </w:r>
    </w:p>
    <w:bookmarkEnd w:id="9"/>
    <w:bookmarkStart w:id="11" w:name="the-numbers-to-beat"/>
    <w:p>
      <w:pPr>
        <w:pStyle w:val="Heading2"/>
      </w:pPr>
      <w:r>
        <w:t xml:space="preserve">The numbers to beat</w:t>
      </w:r>
    </w:p>
    <w:p>
      <w:pPr>
        <w:pStyle w:val="FirstParagraph"/>
      </w:pPr>
      <w:r>
        <w:t xml:space="preserve">Management provided explicit Q2 guidance in May: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guidance</w:t>
            </w:r>
          </w:p>
        </w:tc>
        <w:tc>
          <w:tcPr/>
          <w:p>
            <w:pPr>
              <w:pStyle w:val="Compact"/>
            </w:pPr>
            <w:r>
              <w:t xml:space="preserve">What matters</w:t>
            </w:r>
          </w:p>
        </w:tc>
      </w:tr>
      <w:tr>
        <w:tc>
          <w:tcPr/>
          <w:p>
            <w:pPr>
              <w:pStyle w:val="Compact"/>
            </w:pPr>
            <w:r>
              <w:t xml:space="preserve">Revenue</w:t>
            </w:r>
          </w:p>
        </w:tc>
        <w:tc>
          <w:tcPr/>
          <w:p>
            <w:pPr>
              <w:pStyle w:val="Compact"/>
              <w:jc w:val="right"/>
            </w:pPr>
            <m:oMath>
              <m:r>
                <m:t>6.75</m:t>
              </m:r>
              <m:r>
                <m:t>B</m:t>
              </m:r>
              <m:r>
                <m:rPr>
                  <m:sty m:val="p"/>
                </m:rPr>
                <m:t>–</m:t>
              </m:r>
            </m:oMath>
            <w:r>
              <w:rPr>
                <w:b/>
                <w:bCs/>
              </w:rPr>
              <w:t xml:space="preserve">6.95B</w:t>
            </w:r>
          </w:p>
        </w:tc>
        <w:tc>
          <w:tcPr/>
          <w:p>
            <w:pPr>
              <w:pStyle w:val="Compact"/>
            </w:pPr>
            <w:r>
              <w:t xml:space="preserve">Midpoint implies approximately flat year-over-year growth</w:t>
            </w:r>
          </w:p>
        </w:tc>
      </w:tr>
      <w:tr>
        <w:tc>
          <w:tcPr/>
          <w:p>
            <w:pPr>
              <w:pStyle w:val="Compact"/>
            </w:pPr>
            <w:r>
              <w:t xml:space="preserve">Adjusted EBITDA</w:t>
            </w:r>
          </w:p>
        </w:tc>
        <w:tc>
          <w:tcPr/>
          <w:p>
            <w:pPr>
              <w:pStyle w:val="Compact"/>
              <w:jc w:val="right"/>
            </w:pPr>
            <m:oMath>
              <m:r>
                <m:t>900</m:t>
              </m:r>
              <m:r>
                <m:t>M</m:t>
              </m:r>
              <m:r>
                <m:rPr>
                  <m:sty m:val="p"/>
                </m:rPr>
                <m:t>–</m:t>
              </m:r>
            </m:oMath>
            <w:r>
              <w:rPr>
                <w:b/>
                <w:bCs/>
              </w:rPr>
              <w:t xml:space="preserve">1.00B</w:t>
            </w:r>
          </w:p>
        </w:tc>
        <w:tc>
          <w:tcPr/>
          <w:p>
            <w:pPr>
              <w:pStyle w:val="Compact"/>
            </w:pPr>
            <w:r>
              <w:t xml:space="preserve">Midpoint margin of approximately</w:t>
            </w:r>
            <w:r>
              <w:t xml:space="preserve"> </w:t>
            </w:r>
            <w:r>
              <w:rPr>
                <w:b/>
                <w:bCs/>
              </w:rPr>
              <w:t xml:space="preserve">13.9%</w:t>
            </w:r>
          </w:p>
        </w:tc>
      </w:tr>
      <w:tr>
        <w:tc>
          <w:tcPr/>
          <w:p>
            <w:pPr>
              <w:pStyle w:val="Compact"/>
            </w:pPr>
            <w:r>
              <w:t xml:space="preserve">Paramount+ subscribers</w:t>
            </w:r>
          </w:p>
        </w:tc>
        <w:tc>
          <w:tcPr/>
          <w:p>
            <w:pPr>
              <w:pStyle w:val="Compact"/>
              <w:jc w:val="right"/>
            </w:pPr>
            <w:r>
              <w:rPr>
                <w:b/>
                <w:bCs/>
              </w:rPr>
              <w:t xml:space="preserve">Roughly flat sequentially</w:t>
            </w:r>
          </w:p>
        </w:tc>
        <w:tc>
          <w:tcPr/>
          <w:p>
            <w:pPr>
              <w:pStyle w:val="Compact"/>
            </w:pPr>
            <w:r>
              <w:t xml:space="preserve">Approximately 2M low-value international bundle exits obscure underlying growth</w:t>
            </w:r>
          </w:p>
        </w:tc>
      </w:tr>
      <w:tr>
        <w:tc>
          <w:tcPr/>
          <w:p>
            <w:pPr>
              <w:pStyle w:val="Compact"/>
            </w:pPr>
            <w:r>
              <w:t xml:space="preserve">Transformation costs</w:t>
            </w:r>
          </w:p>
        </w:tc>
        <w:tc>
          <w:tcPr/>
          <w:p>
            <w:pPr>
              <w:pStyle w:val="Compact"/>
              <w:jc w:val="right"/>
            </w:pPr>
            <w:r>
              <w:rPr>
                <w:b/>
                <w:bCs/>
              </w:rPr>
              <w:t xml:space="preserve">Several hundred million dollars</w:t>
            </w:r>
          </w:p>
        </w:tc>
        <w:tc>
          <w:tcPr/>
          <w:p>
            <w:pPr>
              <w:pStyle w:val="Compact"/>
            </w:pPr>
            <w:r>
              <w:t xml:space="preserve">Expected to pressure reported free cash flow</w:t>
            </w:r>
          </w:p>
        </w:tc>
      </w:tr>
    </w:tbl>
    <w:p>
      <w:pPr>
        <w:pStyle w:val="BodyText"/>
      </w:pPr>
      <w:r>
        <w:t xml:space="preserve">For full-year 2026, the company previously maintained:</w:t>
      </w:r>
    </w:p>
    <w:p>
      <w:pPr>
        <w:pStyle w:val="Compact"/>
        <w:numPr>
          <w:ilvl w:val="0"/>
          <w:numId w:val="1002"/>
        </w:numPr>
      </w:pPr>
      <w:r>
        <w:rPr>
          <w:b/>
          <w:bCs/>
        </w:rPr>
        <w:t xml:space="preserve">Revenue:</w:t>
      </w:r>
      <w:r>
        <w:t xml:space="preserve"> </w:t>
      </w:r>
      <w:r>
        <w:t xml:space="preserve">$30 billion, or approximately 4% growth</w:t>
      </w:r>
    </w:p>
    <w:p>
      <w:pPr>
        <w:pStyle w:val="Compact"/>
        <w:numPr>
          <w:ilvl w:val="0"/>
          <w:numId w:val="1002"/>
        </w:numPr>
      </w:pPr>
      <w:r>
        <w:rPr>
          <w:b/>
          <w:bCs/>
        </w:rPr>
        <w:t xml:space="preserve">Adjusted EBITDA:</w:t>
      </w:r>
      <w:r>
        <w:t xml:space="preserve"> </w:t>
      </w:r>
      <w:r>
        <w:t xml:space="preserve">$3.8 billion</w:t>
      </w:r>
    </w:p>
    <w:p>
      <w:pPr>
        <w:pStyle w:val="Compact"/>
        <w:numPr>
          <w:ilvl w:val="0"/>
          <w:numId w:val="1002"/>
        </w:numPr>
      </w:pPr>
      <w:r>
        <w:rPr>
          <w:b/>
          <w:bCs/>
        </w:rPr>
        <w:t xml:space="preserve">Run-rate efficiencies:</w:t>
      </w:r>
      <w:r>
        <w:t xml:space="preserve"> </w:t>
      </w:r>
      <w:r>
        <w:t xml:space="preserve">More than $2.5 billion by year-end</w:t>
      </w:r>
    </w:p>
    <w:p>
      <w:pPr>
        <w:pStyle w:val="Compact"/>
        <w:numPr>
          <w:ilvl w:val="0"/>
          <w:numId w:val="1002"/>
        </w:numPr>
      </w:pPr>
      <w:r>
        <w:rPr>
          <w:b/>
          <w:bCs/>
        </w:rPr>
        <w:t xml:space="preserve">Longer-term efficiencies:</w:t>
      </w:r>
      <w:r>
        <w:t xml:space="preserve"> </w:t>
      </w:r>
      <w:r>
        <w:t xml:space="preserve">At least $3 billion through 2027</w:t>
      </w:r>
    </w:p>
    <w:p>
      <w:pPr>
        <w:pStyle w:val="Compact"/>
        <w:numPr>
          <w:ilvl w:val="0"/>
          <w:numId w:val="1002"/>
        </w:numPr>
      </w:pPr>
      <w:r>
        <w:rPr>
          <w:b/>
          <w:bCs/>
        </w:rPr>
        <w:t xml:space="preserve">Transformation costs:</w:t>
      </w:r>
      <w:r>
        <w:t xml:space="preserve"> </w:t>
      </w:r>
      <w:r>
        <w:t xml:space="preserve">Approximately $800 million</w:t>
      </w:r>
    </w:p>
    <w:p>
      <w:pPr>
        <w:pStyle w:val="Compact"/>
        <w:numPr>
          <w:ilvl w:val="0"/>
          <w:numId w:val="1002"/>
        </w:numPr>
      </w:pPr>
      <w:r>
        <w:rPr>
          <w:b/>
          <w:bCs/>
        </w:rPr>
        <w:t xml:space="preserve">Free-cash-flow conversion:</w:t>
      </w:r>
      <w:r>
        <w:t xml:space="preserve"> </w:t>
      </w:r>
      <w:r>
        <w:t xml:space="preserve">Approximately 5% before transformation costs</w:t>
      </w:r>
    </w:p>
    <w:bookmarkStart w:id="10" w:name="the-cleanest-definition-of-a-beat"/>
    <w:p>
      <w:pPr>
        <w:pStyle w:val="Heading3"/>
      </w:pPr>
      <w:r>
        <w:t xml:space="preserve">The cleanest definition of a beat</w:t>
      </w:r>
    </w:p>
    <w:p>
      <w:pPr>
        <w:pStyle w:val="FirstParagraph"/>
      </w:pPr>
      <w:r>
        <w:t xml:space="preserve">A solid report would include:</w:t>
      </w:r>
    </w:p>
    <w:p>
      <w:pPr>
        <w:pStyle w:val="Compact"/>
        <w:numPr>
          <w:ilvl w:val="0"/>
          <w:numId w:val="1003"/>
        </w:numPr>
      </w:pPr>
      <w:r>
        <w:t xml:space="preserve">Revenue at or above the upper half of the</w:t>
      </w:r>
      <w:r>
        <w:t xml:space="preserve"> </w:t>
      </w:r>
      <m:oMath>
        <m:r>
          <m:t>6.75</m:t>
        </m:r>
        <m:r>
          <m:t>B</m:t>
        </m:r>
        <m:r>
          <m:rPr>
            <m:sty m:val="p"/>
          </m:rPr>
          <m:t>–</m:t>
        </m:r>
      </m:oMath>
      <w:r>
        <w:rPr>
          <w:b/>
          <w:bCs/>
        </w:rPr>
        <w:t xml:space="preserve">6.95B</w:t>
      </w:r>
      <w:r>
        <w:t xml:space="preserve"> </w:t>
      </w:r>
      <w:r>
        <w:t xml:space="preserve">range.</w:t>
      </w:r>
    </w:p>
    <w:p>
      <w:pPr>
        <w:pStyle w:val="Compact"/>
        <w:numPr>
          <w:ilvl w:val="0"/>
          <w:numId w:val="1003"/>
        </w:numPr>
      </w:pPr>
      <w:r>
        <w:t xml:space="preserve">Adjusted EBITDA close to or above</w:t>
      </w:r>
      <w:r>
        <w:t xml:space="preserve"> </w:t>
      </w:r>
      <w:r>
        <w:rPr>
          <w:b/>
          <w:bCs/>
        </w:rPr>
        <w:t xml:space="preserve">$1 billion</w:t>
      </w:r>
      <w:r>
        <w:t xml:space="preserve">.</w:t>
      </w:r>
    </w:p>
    <w:p>
      <w:pPr>
        <w:pStyle w:val="Compact"/>
        <w:numPr>
          <w:ilvl w:val="0"/>
          <w:numId w:val="1003"/>
        </w:numPr>
      </w:pPr>
      <w:r>
        <w:t xml:space="preserve">Reaffirmed full-year guidance without relying on additional reductions in content or marketing.</w:t>
      </w:r>
    </w:p>
    <w:p>
      <w:pPr>
        <w:pStyle w:val="Compact"/>
        <w:numPr>
          <w:ilvl w:val="0"/>
          <w:numId w:val="1003"/>
        </w:numPr>
      </w:pPr>
      <w:r>
        <w:t xml:space="preserve">Healthy underlying Paramount+ additions despite the bundle exits.</w:t>
      </w:r>
    </w:p>
    <w:p>
      <w:pPr>
        <w:pStyle w:val="Compact"/>
        <w:numPr>
          <w:ilvl w:val="0"/>
          <w:numId w:val="1003"/>
        </w:numPr>
      </w:pPr>
      <w:r>
        <w:t xml:space="preserve">Evidence that advertising is moving toward management’s expected return to growth in the second half.</w:t>
      </w:r>
    </w:p>
    <w:p>
      <w:pPr>
        <w:pStyle w:val="Compact"/>
        <w:numPr>
          <w:ilvl w:val="0"/>
          <w:numId w:val="1003"/>
        </w:numPr>
      </w:pPr>
      <w:r>
        <w:t xml:space="preserve">No further deterioration in the cash outlook.</w:t>
      </w:r>
    </w:p>
    <w:bookmarkEnd w:id="10"/>
    <w:bookmarkEnd w:id="11"/>
    <w:bookmarkStart w:id="17" w:name="the-five-issues-that-matter-most"/>
    <w:p>
      <w:pPr>
        <w:pStyle w:val="Heading2"/>
      </w:pPr>
      <w:r>
        <w:t xml:space="preserve">The five issues that matter most</w:t>
      </w:r>
    </w:p>
    <w:bookmarkStart w:id="12" w:name="Xe596ae09c57c9aac53c22d11207798a5b4db7ee"/>
    <w:p>
      <w:pPr>
        <w:pStyle w:val="Heading3"/>
      </w:pPr>
      <w:r>
        <w:t xml:space="preserve">1. Is streaming profitability durable?</w:t>
      </w:r>
    </w:p>
    <w:p>
      <w:pPr>
        <w:pStyle w:val="FirstParagraph"/>
      </w:pPr>
      <w:r>
        <w:t xml:space="preserve">Direct-to-consumer was the strongest component of Q1:</w:t>
      </w:r>
    </w:p>
    <w:p>
      <w:pPr>
        <w:pStyle w:val="Compact"/>
        <w:numPr>
          <w:ilvl w:val="0"/>
          <w:numId w:val="1004"/>
        </w:numPr>
      </w:pPr>
      <w:r>
        <w:t xml:space="preserve">Revenue increased</w:t>
      </w:r>
      <w:r>
        <w:t xml:space="preserve"> </w:t>
      </w:r>
      <w:r>
        <w:rPr>
          <w:b/>
          <w:bCs/>
        </w:rPr>
        <w:t xml:space="preserve">11%</w:t>
      </w:r>
      <w:r>
        <w:t xml:space="preserve"> </w:t>
      </w:r>
      <w:r>
        <w:t xml:space="preserve">to $2.4 billion.</w:t>
      </w:r>
    </w:p>
    <w:p>
      <w:pPr>
        <w:pStyle w:val="Compact"/>
        <w:numPr>
          <w:ilvl w:val="0"/>
          <w:numId w:val="1004"/>
        </w:numPr>
      </w:pPr>
      <w:r>
        <w:t xml:space="preserve">Paramount+ revenue grew</w:t>
      </w:r>
      <w:r>
        <w:t xml:space="preserve"> </w:t>
      </w:r>
      <w:r>
        <w:rPr>
          <w:b/>
          <w:bCs/>
        </w:rPr>
        <w:t xml:space="preserve">17%</w:t>
      </w:r>
      <w:r>
        <w:t xml:space="preserve">.</w:t>
      </w:r>
    </w:p>
    <w:p>
      <w:pPr>
        <w:pStyle w:val="Compact"/>
        <w:numPr>
          <w:ilvl w:val="0"/>
          <w:numId w:val="1004"/>
        </w:numPr>
      </w:pPr>
      <w:r>
        <w:t xml:space="preserve">Paramount+ ARPU rose</w:t>
      </w:r>
      <w:r>
        <w:t xml:space="preserve"> </w:t>
      </w:r>
      <w:r>
        <w:rPr>
          <w:b/>
          <w:bCs/>
        </w:rPr>
        <w:t xml:space="preserve">14%</w:t>
      </w:r>
      <w:r>
        <w:t xml:space="preserve">.</w:t>
      </w:r>
    </w:p>
    <w:p>
      <w:pPr>
        <w:pStyle w:val="Compact"/>
        <w:numPr>
          <w:ilvl w:val="0"/>
          <w:numId w:val="1004"/>
        </w:numPr>
      </w:pPr>
      <w:r>
        <w:t xml:space="preserve">DTC adjusted EBITDA reached</w:t>
      </w:r>
      <w:r>
        <w:t xml:space="preserve"> </w:t>
      </w:r>
      <w:r>
        <w:rPr>
          <w:b/>
          <w:bCs/>
        </w:rPr>
        <w:t xml:space="preserve">$251 million</w:t>
      </w:r>
      <w:r>
        <w:t xml:space="preserve">, versus a small loss in the prior-year quarter.</w:t>
      </w:r>
    </w:p>
    <w:p>
      <w:pPr>
        <w:pStyle w:val="Compact"/>
        <w:numPr>
          <w:ilvl w:val="0"/>
          <w:numId w:val="1004"/>
        </w:numPr>
      </w:pPr>
      <w:r>
        <w:t xml:space="preserve">Paramount+ ended Q1 with</w:t>
      </w:r>
      <w:r>
        <w:t xml:space="preserve"> </w:t>
      </w:r>
      <w:r>
        <w:rPr>
          <w:b/>
          <w:bCs/>
        </w:rPr>
        <w:t xml:space="preserve">79.6 million subscribers</w:t>
      </w:r>
      <w:r>
        <w:t xml:space="preserve">, up 0.7 million sequentially despite more than 1 million international bundle exits.</w:t>
      </w:r>
    </w:p>
    <w:p>
      <w:pPr>
        <w:pStyle w:val="FirstParagraph"/>
      </w:pPr>
      <w:r>
        <w:t xml:space="preserve">Q2 subscriber totals will be noisy because PSKY planned to remove approximately</w:t>
      </w:r>
      <w:r>
        <w:t xml:space="preserve"> </w:t>
      </w:r>
      <w:r>
        <w:rPr>
          <w:b/>
          <w:bCs/>
        </w:rPr>
        <w:t xml:space="preserve">2 million additional low-ARPU bundle subscribers</w:t>
      </w:r>
      <w:r>
        <w:t xml:space="preserve">. Management said these subscribers generated less than $1 of average monthly ARPU, so losing them can improve subscriber quality even while reducing the headline count.</w:t>
      </w:r>
    </w:p>
    <w:p>
      <w:pPr>
        <w:pStyle w:val="BodyText"/>
      </w:pPr>
      <w:r>
        <w:t xml:space="preserve">Investors should focus on:</w:t>
      </w:r>
    </w:p>
    <w:p>
      <w:pPr>
        <w:pStyle w:val="Compact"/>
        <w:numPr>
          <w:ilvl w:val="0"/>
          <w:numId w:val="1005"/>
        </w:numPr>
      </w:pPr>
      <w:r>
        <w:t xml:space="preserve">Organic subscriber additions before bundle exits.</w:t>
      </w:r>
    </w:p>
    <w:p>
      <w:pPr>
        <w:pStyle w:val="Compact"/>
        <w:numPr>
          <w:ilvl w:val="0"/>
          <w:numId w:val="1005"/>
        </w:numPr>
      </w:pPr>
      <w:r>
        <w:t xml:space="preserve">Churn following January price increases.</w:t>
      </w:r>
    </w:p>
    <w:p>
      <w:pPr>
        <w:pStyle w:val="Compact"/>
        <w:numPr>
          <w:ilvl w:val="0"/>
          <w:numId w:val="1005"/>
        </w:numPr>
      </w:pPr>
      <w:r>
        <w:t xml:space="preserve">Subscription versus advertising revenue growth.</w:t>
      </w:r>
    </w:p>
    <w:p>
      <w:pPr>
        <w:pStyle w:val="Compact"/>
        <w:numPr>
          <w:ilvl w:val="0"/>
          <w:numId w:val="1005"/>
        </w:numPr>
      </w:pPr>
      <w:r>
        <w:t xml:space="preserve">DTC adjusted EBITDA and margin.</w:t>
      </w:r>
    </w:p>
    <w:p>
      <w:pPr>
        <w:pStyle w:val="Compact"/>
        <w:numPr>
          <w:ilvl w:val="0"/>
          <w:numId w:val="1005"/>
        </w:numPr>
      </w:pPr>
      <w:r>
        <w:t xml:space="preserve">Engagement and retention from UFC and the broader content slate.</w:t>
      </w:r>
    </w:p>
    <w:p>
      <w:pPr>
        <w:pStyle w:val="Compact"/>
        <w:numPr>
          <w:ilvl w:val="0"/>
          <w:numId w:val="1005"/>
        </w:numPr>
      </w:pPr>
      <w:r>
        <w:t xml:space="preserve">Whether management still expects DTC revenue growth to accelerate in the second half.</w:t>
      </w:r>
    </w:p>
    <w:p>
      <w:pPr>
        <w:pStyle w:val="FirstParagraph"/>
      </w:pPr>
      <w:r>
        <w:t xml:space="preserve">One qualification: Q1 streaming profitability benefited partly from purchase-accounting-related reductions in content expense. Management said this benefit will step down in 2027. Investors should distinguish</w:t>
      </w:r>
      <w:r>
        <w:t xml:space="preserve"> </w:t>
      </w:r>
      <w:r>
        <w:rPr>
          <w:b/>
          <w:bCs/>
        </w:rPr>
        <w:t xml:space="preserve">structural margin improvement</w:t>
      </w:r>
      <w:r>
        <w:t xml:space="preserve"> </w:t>
      </w:r>
      <w:r>
        <w:t xml:space="preserve">from accounting and content-timing benefits.</w:t>
      </w:r>
    </w:p>
    <w:bookmarkEnd w:id="12"/>
    <w:bookmarkStart w:id="13" w:name="Xff6d7f56cfb7a7eaf56be0ba5ffc3df236f1120"/>
    <w:p>
      <w:pPr>
        <w:pStyle w:val="Heading3"/>
      </w:pPr>
      <w:r>
        <w:t xml:space="preserve">2. Can cost reductions continue to offset linear-TV erosion?</w:t>
      </w:r>
    </w:p>
    <w:p>
      <w:pPr>
        <w:pStyle w:val="FirstParagraph"/>
      </w:pPr>
      <w:r>
        <w:t xml:space="preserve">TV Media remains PSKY’s largest profit and cash-flow engine, despite its structural decline. In Q1:</w:t>
      </w:r>
    </w:p>
    <w:p>
      <w:pPr>
        <w:pStyle w:val="Compact"/>
        <w:numPr>
          <w:ilvl w:val="0"/>
          <w:numId w:val="1006"/>
        </w:numPr>
      </w:pPr>
      <w:r>
        <w:t xml:space="preserve">Revenue fell</w:t>
      </w:r>
      <w:r>
        <w:t xml:space="preserve"> </w:t>
      </w:r>
      <w:r>
        <w:rPr>
          <w:b/>
          <w:bCs/>
        </w:rPr>
        <w:t xml:space="preserve">6%</w:t>
      </w:r>
      <w:r>
        <w:t xml:space="preserve">.</w:t>
      </w:r>
    </w:p>
    <w:p>
      <w:pPr>
        <w:pStyle w:val="Compact"/>
        <w:numPr>
          <w:ilvl w:val="0"/>
          <w:numId w:val="1006"/>
        </w:numPr>
      </w:pPr>
      <w:r>
        <w:t xml:space="preserve">Advertising and affiliate revenue each declined</w:t>
      </w:r>
      <w:r>
        <w:t xml:space="preserve"> </w:t>
      </w:r>
      <w:r>
        <w:rPr>
          <w:b/>
          <w:bCs/>
        </w:rPr>
        <w:t xml:space="preserve">6%</w:t>
      </w:r>
      <w:r>
        <w:t xml:space="preserve">.</w:t>
      </w:r>
    </w:p>
    <w:p>
      <w:pPr>
        <w:pStyle w:val="Compact"/>
        <w:numPr>
          <w:ilvl w:val="0"/>
          <w:numId w:val="1006"/>
        </w:numPr>
      </w:pPr>
      <w:r>
        <w:t xml:space="preserve">Adjusted EBITDA nevertheless increased</w:t>
      </w:r>
      <w:r>
        <w:t xml:space="preserve"> </w:t>
      </w:r>
      <w:r>
        <w:rPr>
          <w:b/>
          <w:bCs/>
        </w:rPr>
        <w:t xml:space="preserve">11%</w:t>
      </w:r>
      <w:r>
        <w:t xml:space="preserve"> </w:t>
      </w:r>
      <w:r>
        <w:t xml:space="preserve">to approximately $1.1 billion.</w:t>
      </w:r>
    </w:p>
    <w:p>
      <w:pPr>
        <w:pStyle w:val="Compact"/>
        <w:numPr>
          <w:ilvl w:val="0"/>
          <w:numId w:val="1006"/>
        </w:numPr>
      </w:pPr>
      <w:r>
        <w:t xml:space="preserve">Segment margin reached</w:t>
      </w:r>
      <w:r>
        <w:t xml:space="preserve"> </w:t>
      </w:r>
      <w:r>
        <w:rPr>
          <w:b/>
          <w:bCs/>
        </w:rPr>
        <w:t xml:space="preserve">29%</w:t>
      </w:r>
      <w:r>
        <w:t xml:space="preserve">, up from 24%.</w:t>
      </w:r>
    </w:p>
    <w:p>
      <w:pPr>
        <w:pStyle w:val="FirstParagraph"/>
      </w:pPr>
      <w:r>
        <w:t xml:space="preserve">That was an impressive cost result, but there is a limit to how long expense reductions can compensate for declining affiliate and advertising revenue.</w:t>
      </w:r>
    </w:p>
    <w:p>
      <w:pPr>
        <w:pStyle w:val="BodyText"/>
      </w:pPr>
      <w:r>
        <w:t xml:space="preserve">Key questions for Q2 include:</w:t>
      </w:r>
    </w:p>
    <w:p>
      <w:pPr>
        <w:pStyle w:val="Compact"/>
        <w:numPr>
          <w:ilvl w:val="0"/>
          <w:numId w:val="1007"/>
        </w:numPr>
      </w:pPr>
      <w:r>
        <w:t xml:space="preserve">Has the rate of linear advertising decline stabilized?</w:t>
      </w:r>
    </w:p>
    <w:p>
      <w:pPr>
        <w:pStyle w:val="Compact"/>
        <w:numPr>
          <w:ilvl w:val="0"/>
          <w:numId w:val="1007"/>
        </w:numPr>
      </w:pPr>
      <w:r>
        <w:t xml:space="preserve">Did digital advertising growth accelerate enough to offset more of the linear decline?</w:t>
      </w:r>
    </w:p>
    <w:p>
      <w:pPr>
        <w:pStyle w:val="Compact"/>
        <w:numPr>
          <w:ilvl w:val="0"/>
          <w:numId w:val="1007"/>
        </w:numPr>
      </w:pPr>
      <w:r>
        <w:t xml:space="preserve">Are affiliate trends worsening or remaining near the Q1 pace?</w:t>
      </w:r>
    </w:p>
    <w:p>
      <w:pPr>
        <w:pStyle w:val="Compact"/>
        <w:numPr>
          <w:ilvl w:val="0"/>
          <w:numId w:val="1007"/>
        </w:numPr>
      </w:pPr>
      <w:r>
        <w:t xml:space="preserve">Can TV Media sustain a high-20% margin without damaging future content performance?</w:t>
      </w:r>
    </w:p>
    <w:p>
      <w:pPr>
        <w:pStyle w:val="Compact"/>
        <w:numPr>
          <w:ilvl w:val="0"/>
          <w:numId w:val="1007"/>
        </w:numPr>
      </w:pPr>
      <w:r>
        <w:t xml:space="preserve">Does management still expect companywide advertising revenue to return to growth in the second half?</w:t>
      </w:r>
    </w:p>
    <w:p>
      <w:pPr>
        <w:pStyle w:val="FirstParagraph"/>
      </w:pPr>
      <w:r>
        <w:t xml:space="preserve">The quality of the EBITDA result matters. A beat driven by permanent efficiencies is more valuable than one driven by delayed hiring, deferred content spending or unusually low marketing.</w:t>
      </w:r>
    </w:p>
    <w:bookmarkEnd w:id="13"/>
    <w:bookmarkStart w:id="14" w:name="X6722a7bbcf35d238e8618cad19b35cd0bbaa60c"/>
    <w:p>
      <w:pPr>
        <w:pStyle w:val="Heading3"/>
      </w:pPr>
      <w:r>
        <w:t xml:space="preserve">3. Is the content and technology investment producing measurable returns?</w:t>
      </w:r>
    </w:p>
    <w:p>
      <w:pPr>
        <w:pStyle w:val="FirstParagraph"/>
      </w:pPr>
      <w:r>
        <w:t xml:space="preserve">PSKY is simultaneously increasing output and attempting to improve content economics. Q1 Studios revenue grew</w:t>
      </w:r>
      <w:r>
        <w:t xml:space="preserve"> </w:t>
      </w:r>
      <w:r>
        <w:rPr>
          <w:b/>
          <w:bCs/>
        </w:rPr>
        <w:t xml:space="preserve">11%</w:t>
      </w:r>
      <w:r>
        <w:t xml:space="preserve">, helped by</w:t>
      </w:r>
      <w:r>
        <w:t xml:space="preserve"> </w:t>
      </w:r>
      <w:r>
        <w:rPr>
          <w:i/>
          <w:iCs/>
        </w:rPr>
        <w:t xml:space="preserve">Scream 7</w:t>
      </w:r>
      <w:r>
        <w:t xml:space="preserve">, licensing activity and the inclusion of Skydance operations.</w:t>
      </w:r>
    </w:p>
    <w:p>
      <w:pPr>
        <w:pStyle w:val="BodyText"/>
      </w:pPr>
      <w:r>
        <w:t xml:space="preserve">Management previously warned that Q2 faced a difficult theatrical comparison with 2025’s</w:t>
      </w:r>
      <w:r>
        <w:t xml:space="preserve"> </w:t>
      </w:r>
      <w:r>
        <w:rPr>
          <w:i/>
          <w:iCs/>
        </w:rPr>
        <w:t xml:space="preserve">Mission: Impossible—The Final Reckoning</w:t>
      </w:r>
      <w:r>
        <w:t xml:space="preserve">. The most useful disclosures will therefore be forward-looking:</w:t>
      </w:r>
    </w:p>
    <w:p>
      <w:pPr>
        <w:pStyle w:val="Compact"/>
        <w:numPr>
          <w:ilvl w:val="0"/>
          <w:numId w:val="1008"/>
        </w:numPr>
      </w:pPr>
      <w:r>
        <w:t xml:space="preserve">Performance of the 2026 film slate.</w:t>
      </w:r>
    </w:p>
    <w:p>
      <w:pPr>
        <w:pStyle w:val="Compact"/>
        <w:numPr>
          <w:ilvl w:val="0"/>
          <w:numId w:val="1008"/>
        </w:numPr>
      </w:pPr>
      <w:r>
        <w:t xml:space="preserve">Licensing revenue and third-party television production.</w:t>
      </w:r>
    </w:p>
    <w:p>
      <w:pPr>
        <w:pStyle w:val="Compact"/>
        <w:numPr>
          <w:ilvl w:val="0"/>
          <w:numId w:val="1008"/>
        </w:numPr>
      </w:pPr>
      <w:r>
        <w:t xml:space="preserve">Returns on the expanded slate, not simply the number of releases.</w:t>
      </w:r>
    </w:p>
    <w:p>
      <w:pPr>
        <w:pStyle w:val="Compact"/>
        <w:numPr>
          <w:ilvl w:val="0"/>
          <w:numId w:val="1008"/>
        </w:numPr>
      </w:pPr>
      <w:r>
        <w:t xml:space="preserve">Content spending expectations for the second half and 2027.</w:t>
      </w:r>
    </w:p>
    <w:p>
      <w:pPr>
        <w:pStyle w:val="Compact"/>
        <w:numPr>
          <w:ilvl w:val="0"/>
          <w:numId w:val="1008"/>
        </w:numPr>
      </w:pPr>
      <w:r>
        <w:t xml:space="preserve">Progress toward producing at least 30 annual theatrical releases across Paramount and WBD if the acquisition closes.</w:t>
      </w:r>
    </w:p>
    <w:p>
      <w:pPr>
        <w:pStyle w:val="FirstParagraph"/>
      </w:pPr>
      <w:r>
        <w:t xml:space="preserve">Technology is another important execution test. Management targeted a midyear convergence of the Paramount+, BET+ and Pluto TV technology stacks, along with a major Pluto update. Investors should listen for hard evidence such as:</w:t>
      </w:r>
    </w:p>
    <w:p>
      <w:pPr>
        <w:pStyle w:val="Compact"/>
        <w:numPr>
          <w:ilvl w:val="0"/>
          <w:numId w:val="1009"/>
        </w:numPr>
      </w:pPr>
      <w:r>
        <w:t xml:space="preserve">Lower churn or higher viewing frequency.</w:t>
      </w:r>
    </w:p>
    <w:p>
      <w:pPr>
        <w:pStyle w:val="Compact"/>
        <w:numPr>
          <w:ilvl w:val="0"/>
          <w:numId w:val="1009"/>
        </w:numPr>
      </w:pPr>
      <w:r>
        <w:t xml:space="preserve">Better recommendations and content discovery.</w:t>
      </w:r>
    </w:p>
    <w:p>
      <w:pPr>
        <w:pStyle w:val="Compact"/>
        <w:numPr>
          <w:ilvl w:val="0"/>
          <w:numId w:val="1009"/>
        </w:numPr>
      </w:pPr>
      <w:r>
        <w:t xml:space="preserve">Improved advertising fill rates and yields.</w:t>
      </w:r>
    </w:p>
    <w:p>
      <w:pPr>
        <w:pStyle w:val="Compact"/>
        <w:numPr>
          <w:ilvl w:val="0"/>
          <w:numId w:val="1009"/>
        </w:numPr>
      </w:pPr>
      <w:r>
        <w:t xml:space="preserve">Greater registration and first-party data capture at Pluto.</w:t>
      </w:r>
    </w:p>
    <w:p>
      <w:pPr>
        <w:pStyle w:val="Compact"/>
        <w:numPr>
          <w:ilvl w:val="0"/>
          <w:numId w:val="1009"/>
        </w:numPr>
      </w:pPr>
      <w:r>
        <w:t xml:space="preserve">A clear rollout timetable if the project is not yet complete.</w:t>
      </w:r>
    </w:p>
    <w:p>
      <w:pPr>
        <w:pStyle w:val="FirstParagraph"/>
      </w:pPr>
      <w:r>
        <w:t xml:space="preserve">A vague “on track” update would be less reassuring than concrete adoption, engagement and monetization data.</w:t>
      </w:r>
    </w:p>
    <w:bookmarkEnd w:id="14"/>
    <w:bookmarkStart w:id="15" w:name="X2ed29e4154432d447495769a24d604830107046"/>
    <w:p>
      <w:pPr>
        <w:pStyle w:val="Heading3"/>
      </w:pPr>
      <w:r>
        <w:t xml:space="preserve">4. Cash flow is the weak point</w:t>
      </w:r>
    </w:p>
    <w:p>
      <w:pPr>
        <w:pStyle w:val="FirstParagraph"/>
      </w:pPr>
      <w:r>
        <w:t xml:space="preserve">PSKY generated only</w:t>
      </w:r>
      <w:r>
        <w:t xml:space="preserve"> </w:t>
      </w:r>
      <w:r>
        <w:rPr>
          <w:b/>
          <w:bCs/>
        </w:rPr>
        <w:t xml:space="preserve">$96 million of free cash flow in Q1</w:t>
      </w:r>
      <w:r>
        <w:t xml:space="preserve">, down from $123 million in the comparable period. Q2 is expected to include several hundred million dollars of transformation costs.</w:t>
      </w:r>
    </w:p>
    <w:p>
      <w:pPr>
        <w:pStyle w:val="BodyText"/>
      </w:pPr>
      <w:r>
        <w:t xml:space="preserve">At March 31, standalone PSKY had:</w:t>
      </w:r>
    </w:p>
    <w:p>
      <w:pPr>
        <w:pStyle w:val="Compact"/>
        <w:numPr>
          <w:ilvl w:val="0"/>
          <w:numId w:val="1010"/>
        </w:numPr>
      </w:pPr>
      <w:r>
        <w:rPr>
          <w:b/>
          <w:bCs/>
        </w:rPr>
        <w:t xml:space="preserve">$1.9 billion of cash</w:t>
      </w:r>
    </w:p>
    <w:p>
      <w:pPr>
        <w:pStyle w:val="Compact"/>
        <w:numPr>
          <w:ilvl w:val="0"/>
          <w:numId w:val="1010"/>
        </w:numPr>
      </w:pPr>
      <w:r>
        <w:rPr>
          <w:b/>
          <w:bCs/>
        </w:rPr>
        <w:t xml:space="preserve">$15.5 billion of gross debt</w:t>
      </w:r>
    </w:p>
    <w:p>
      <w:pPr>
        <w:pStyle w:val="Compact"/>
        <w:numPr>
          <w:ilvl w:val="0"/>
          <w:numId w:val="1010"/>
        </w:numPr>
      </w:pPr>
      <w:r>
        <w:t xml:space="preserve">Only</w:t>
      </w:r>
      <w:r>
        <w:t xml:space="preserve"> </w:t>
      </w:r>
      <w:r>
        <w:rPr>
          <w:b/>
          <w:bCs/>
        </w:rPr>
        <w:t xml:space="preserve">$86 million of remaining 2026 debt maturities</w:t>
      </w:r>
    </w:p>
    <w:p>
      <w:pPr>
        <w:pStyle w:val="FirstParagraph"/>
      </w:pPr>
      <w:r>
        <w:t xml:space="preserve">Near-term maturities are manageable, but the combination of transformation spending, content investment and the WBD transaction raises the importance of cash generation.</w:t>
      </w:r>
    </w:p>
    <w:p>
      <w:pPr>
        <w:pStyle w:val="BodyText"/>
      </w:pPr>
      <w:r>
        <w:t xml:space="preserve">Investors should ask:</w:t>
      </w:r>
    </w:p>
    <w:p>
      <w:pPr>
        <w:pStyle w:val="Compact"/>
        <w:numPr>
          <w:ilvl w:val="0"/>
          <w:numId w:val="1011"/>
        </w:numPr>
      </w:pPr>
      <w:r>
        <w:t xml:space="preserve">How much cash was consumed by transformation and transaction costs in Q2?</w:t>
      </w:r>
    </w:p>
    <w:p>
      <w:pPr>
        <w:pStyle w:val="Compact"/>
        <w:numPr>
          <w:ilvl w:val="0"/>
          <w:numId w:val="1011"/>
        </w:numPr>
      </w:pPr>
      <w:r>
        <w:t xml:space="preserve">Does the company still expect approximately $800 million of 2026 transformation costs?</w:t>
      </w:r>
    </w:p>
    <w:p>
      <w:pPr>
        <w:pStyle w:val="Compact"/>
        <w:numPr>
          <w:ilvl w:val="0"/>
          <w:numId w:val="1011"/>
        </w:numPr>
      </w:pPr>
      <w:r>
        <w:t xml:space="preserve">When should those expenditures begin to decline?</w:t>
      </w:r>
    </w:p>
    <w:p>
      <w:pPr>
        <w:pStyle w:val="Compact"/>
        <w:numPr>
          <w:ilvl w:val="0"/>
          <w:numId w:val="1011"/>
        </w:numPr>
      </w:pPr>
      <w:r>
        <w:t xml:space="preserve">How quickly do the reported run-rate savings convert into actual cash flow?</w:t>
      </w:r>
    </w:p>
    <w:p>
      <w:pPr>
        <w:pStyle w:val="Compact"/>
        <w:numPr>
          <w:ilvl w:val="0"/>
          <w:numId w:val="1011"/>
        </w:numPr>
      </w:pPr>
      <w:r>
        <w:t xml:space="preserve">Is the full-year cash outlook changing?</w:t>
      </w:r>
    </w:p>
    <w:p>
      <w:pPr>
        <w:pStyle w:val="FirstParagraph"/>
      </w:pPr>
      <w:r>
        <w:t xml:space="preserve">An EBITDA beat accompanied by weaker cash flow would be a lower-quality result.</w:t>
      </w:r>
    </w:p>
    <w:bookmarkEnd w:id="15"/>
    <w:bookmarkStart w:id="16" w:name="X778e1a18380554b99706d91adfe080bfbbd6908"/>
    <w:p>
      <w:pPr>
        <w:pStyle w:val="Heading3"/>
      </w:pPr>
      <w:r>
        <w:t xml:space="preserve">5. The WBD financing and closing timetable overshadow everything</w:t>
      </w:r>
    </w:p>
    <w:p>
      <w:pPr>
        <w:pStyle w:val="FirstParagraph"/>
      </w:pPr>
      <w:r>
        <w:t xml:space="preserve">PSKY originally targeted closing the WBD transaction by the end of Q3. Since the last earnings report, the transaction has received additional international approvals but also encountered litigation from a group of states. Paramount has agreed not to close while that challenge is considered, potentially delaying the transaction well beyond the original timetable.</w:t>
      </w:r>
    </w:p>
    <w:p>
      <w:pPr>
        <w:pStyle w:val="BodyText"/>
      </w:pPr>
      <w:r>
        <w:t xml:space="preserve">Management’s update on the following will likely determine the market reaction:</w:t>
      </w:r>
    </w:p>
    <w:p>
      <w:pPr>
        <w:pStyle w:val="Compact"/>
        <w:numPr>
          <w:ilvl w:val="0"/>
          <w:numId w:val="1012"/>
        </w:numPr>
      </w:pPr>
      <w:r>
        <w:t xml:space="preserve">Whether a settlement with the states is plausible.</w:t>
      </w:r>
    </w:p>
    <w:p>
      <w:pPr>
        <w:pStyle w:val="Compact"/>
        <w:numPr>
          <w:ilvl w:val="0"/>
          <w:numId w:val="1012"/>
        </w:numPr>
      </w:pPr>
      <w:r>
        <w:t xml:space="preserve">The realistic closing timetable.</w:t>
      </w:r>
    </w:p>
    <w:p>
      <w:pPr>
        <w:pStyle w:val="Compact"/>
        <w:numPr>
          <w:ilvl w:val="0"/>
          <w:numId w:val="1012"/>
        </w:numPr>
      </w:pPr>
      <w:r>
        <w:t xml:space="preserve">Remaining regulatory conditions.</w:t>
      </w:r>
    </w:p>
    <w:p>
      <w:pPr>
        <w:pStyle w:val="Compact"/>
        <w:numPr>
          <w:ilvl w:val="0"/>
          <w:numId w:val="1012"/>
        </w:numPr>
      </w:pPr>
      <w:r>
        <w:t xml:space="preserve">Whether any asset sales or behavioral remedies are under consideration.</w:t>
      </w:r>
    </w:p>
    <w:p>
      <w:pPr>
        <w:pStyle w:val="Compact"/>
        <w:numPr>
          <w:ilvl w:val="0"/>
          <w:numId w:val="1012"/>
        </w:numPr>
      </w:pPr>
      <w:r>
        <w:t xml:space="preserve">The status and pricing of permanent financing.</w:t>
      </w:r>
    </w:p>
    <w:p>
      <w:pPr>
        <w:pStyle w:val="Compact"/>
        <w:numPr>
          <w:ilvl w:val="0"/>
          <w:numId w:val="1012"/>
        </w:numPr>
      </w:pPr>
      <w:r>
        <w:t xml:space="preserve">Whether the transaction economics remain unchanged if closing is delayed.</w:t>
      </w:r>
    </w:p>
    <w:p>
      <w:pPr>
        <w:pStyle w:val="FirstParagraph"/>
      </w:pPr>
      <w:r>
        <w:t xml:space="preserve">The July 31 pro forma filing illustrates the scale of the transaction:</w:t>
      </w:r>
    </w:p>
    <w:p>
      <w:pPr>
        <w:pStyle w:val="Compact"/>
        <w:numPr>
          <w:ilvl w:val="0"/>
          <w:numId w:val="1013"/>
        </w:numPr>
      </w:pPr>
      <w:r>
        <w:t xml:space="preserve">Estimated cash consideration to WBD shareholders:</w:t>
      </w:r>
      <w:r>
        <w:t xml:space="preserve"> </w:t>
      </w:r>
      <w:r>
        <w:rPr>
          <w:b/>
          <w:bCs/>
        </w:rPr>
        <w:t xml:space="preserve">$77.8 billion</w:t>
      </w:r>
    </w:p>
    <w:p>
      <w:pPr>
        <w:pStyle w:val="Compact"/>
        <w:numPr>
          <w:ilvl w:val="0"/>
          <w:numId w:val="1013"/>
        </w:numPr>
      </w:pPr>
      <w:r>
        <w:t xml:space="preserve">Total preliminary purchase consideration: approximately</w:t>
      </w:r>
      <w:r>
        <w:t xml:space="preserve"> </w:t>
      </w:r>
      <w:r>
        <w:rPr>
          <w:b/>
          <w:bCs/>
        </w:rPr>
        <w:t xml:space="preserve">$97.3 billion</w:t>
      </w:r>
    </w:p>
    <w:p>
      <w:pPr>
        <w:pStyle w:val="Compact"/>
        <w:numPr>
          <w:ilvl w:val="0"/>
          <w:numId w:val="1013"/>
        </w:numPr>
      </w:pPr>
      <w:r>
        <w:t xml:space="preserve">Planned PIPE equity financing: approximately</w:t>
      </w:r>
      <w:r>
        <w:t xml:space="preserve"> </w:t>
      </w:r>
      <w:r>
        <w:rPr>
          <w:b/>
          <w:bCs/>
        </w:rPr>
        <w:t xml:space="preserve">$47 billion</w:t>
      </w:r>
    </w:p>
    <w:p>
      <w:pPr>
        <w:pStyle w:val="Compact"/>
        <w:numPr>
          <w:ilvl w:val="0"/>
          <w:numId w:val="1013"/>
        </w:numPr>
      </w:pPr>
      <w:r>
        <w:t xml:space="preserve">Planned new debt financing: roughly</w:t>
      </w:r>
      <w:r>
        <w:t xml:space="preserve"> </w:t>
      </w:r>
      <w:r>
        <w:rPr>
          <w:b/>
          <w:bCs/>
        </w:rPr>
        <w:t xml:space="preserve">$56.9 billion</w:t>
      </w:r>
      <w:r>
        <w:t xml:space="preserve">, before related refinancings and exchanges</w:t>
      </w:r>
    </w:p>
    <w:p>
      <w:pPr>
        <w:pStyle w:val="Compact"/>
        <w:numPr>
          <w:ilvl w:val="0"/>
          <w:numId w:val="1013"/>
        </w:numPr>
      </w:pPr>
      <w:r>
        <w:t xml:space="preserve">Pro forma long-term debt: approximately</w:t>
      </w:r>
      <w:r>
        <w:t xml:space="preserve"> </w:t>
      </w:r>
      <w:r>
        <w:rPr>
          <w:b/>
          <w:bCs/>
        </w:rPr>
        <w:t xml:space="preserve">$80.2 billion</w:t>
      </w:r>
    </w:p>
    <w:p>
      <w:pPr>
        <w:pStyle w:val="Compact"/>
        <w:numPr>
          <w:ilvl w:val="0"/>
          <w:numId w:val="1013"/>
        </w:numPr>
      </w:pPr>
      <w:r>
        <w:t xml:space="preserve">Assumed annual interest expense on new financing: nearly</w:t>
      </w:r>
      <w:r>
        <w:t xml:space="preserve"> </w:t>
      </w:r>
      <w:r>
        <w:rPr>
          <w:b/>
          <w:bCs/>
        </w:rPr>
        <w:t xml:space="preserve">$4 billion</w:t>
      </w:r>
    </w:p>
    <w:p>
      <w:pPr>
        <w:pStyle w:val="Compact"/>
        <w:numPr>
          <w:ilvl w:val="0"/>
          <w:numId w:val="1013"/>
        </w:numPr>
      </w:pPr>
      <w:r>
        <w:t xml:space="preserve">Pro forma combined 2025 interest expense: approximately</w:t>
      </w:r>
      <w:r>
        <w:t xml:space="preserve"> </w:t>
      </w:r>
      <w:r>
        <w:rPr>
          <w:b/>
          <w:bCs/>
        </w:rPr>
        <w:t xml:space="preserve">$6.2 billion</w:t>
      </w:r>
    </w:p>
    <w:p>
      <w:pPr>
        <w:pStyle w:val="FirstParagraph"/>
      </w:pPr>
      <w:r>
        <w:t xml:space="preserve">Those figures exclude future operating synergies and cost savings, but they make clear that the combined company’s equity value will be highly sensitive to financing costs, integration execution and the speed of deleveraging.</w:t>
      </w:r>
    </w:p>
    <w:bookmarkEnd w:id="16"/>
    <w:bookmarkEnd w:id="17"/>
    <w:bookmarkStart w:id="18" w:name="dilution-deserves-special-attention"/>
    <w:p>
      <w:pPr>
        <w:pStyle w:val="Heading2"/>
      </w:pPr>
      <w:r>
        <w:t xml:space="preserve">Dilution deserves special attention</w:t>
      </w:r>
    </w:p>
    <w:p>
      <w:pPr>
        <w:pStyle w:val="FirstParagraph"/>
      </w:pPr>
      <w:r>
        <w:t xml:space="preserve">The PIPE shares will be priced using PSKY’s pre-closing trading average, subject to a</w:t>
      </w:r>
      <w:r>
        <w:t xml:space="preserve"> </w:t>
      </w:r>
      <w:r>
        <w:rPr>
          <w:b/>
          <w:bCs/>
        </w:rPr>
        <w:t xml:space="preserve">$12 floor and $16.02 cap</w:t>
      </w:r>
      <w:r>
        <w:t xml:space="preserve">.</w:t>
      </w:r>
    </w:p>
    <w:p>
      <w:pPr>
        <w:pStyle w:val="BodyText"/>
      </w:pPr>
      <w:r>
        <w:t xml:space="preserve">Because PSKY recently traded at</w:t>
      </w:r>
      <w:r>
        <w:t xml:space="preserve"> </w:t>
      </w:r>
      <w:r>
        <w:rPr>
          <w:b/>
          <w:bCs/>
        </w:rPr>
        <w:t xml:space="preserve">$8.24</w:t>
      </w:r>
      <w:r>
        <w:t xml:space="preserve">, below the floor, the current share price does not reduce the PIPE purchase price below $12. If the applicable pre-closing average remains below $12, PSKY expects to issue approximately</w:t>
      </w:r>
      <w:r>
        <w:t xml:space="preserve"> </w:t>
      </w:r>
      <w:r>
        <w:rPr>
          <w:b/>
          <w:bCs/>
        </w:rPr>
        <w:t xml:space="preserve">3.913 billion new Class B shares</w:t>
      </w:r>
      <w:r>
        <w:t xml:space="preserve">, versus roughly 1.1 billion current weighted-average shares.</w:t>
      </w:r>
    </w:p>
    <w:p>
      <w:pPr>
        <w:pStyle w:val="BodyText"/>
      </w:pPr>
      <w:r>
        <w:t xml:space="preserve">Existing eligible Class B shareholders are expected to receive one 10-year warrant per share, exercisable at the same PIPE price. The warrants provide some participation in future upside, but they do not eliminate the near-term ownership dilution.</w:t>
      </w:r>
    </w:p>
    <w:p>
      <w:pPr>
        <w:pStyle w:val="BodyText"/>
      </w:pPr>
      <w:r>
        <w:t xml:space="preserve">Management should be pressed on:</w:t>
      </w:r>
    </w:p>
    <w:p>
      <w:pPr>
        <w:pStyle w:val="Compact"/>
        <w:numPr>
          <w:ilvl w:val="0"/>
          <w:numId w:val="1014"/>
        </w:numPr>
      </w:pPr>
      <w:r>
        <w:t xml:space="preserve">Expected post-closing share count under different pricing outcomes.</w:t>
      </w:r>
    </w:p>
    <w:p>
      <w:pPr>
        <w:pStyle w:val="Compact"/>
        <w:numPr>
          <w:ilvl w:val="0"/>
          <w:numId w:val="1014"/>
        </w:numPr>
      </w:pPr>
      <w:r>
        <w:t xml:space="preserve">Timing and record date for the shareholder warrants.</w:t>
      </w:r>
    </w:p>
    <w:p>
      <w:pPr>
        <w:pStyle w:val="Compact"/>
        <w:numPr>
          <w:ilvl w:val="0"/>
          <w:numId w:val="1014"/>
        </w:numPr>
      </w:pPr>
      <w:r>
        <w:t xml:space="preserve">Whether the PIPE commitments or terms could change if closing is substantially delayed.</w:t>
      </w:r>
    </w:p>
    <w:p>
      <w:pPr>
        <w:pStyle w:val="Compact"/>
        <w:numPr>
          <w:ilvl w:val="0"/>
          <w:numId w:val="1014"/>
        </w:numPr>
      </w:pPr>
      <w:r>
        <w:t xml:space="preserve">How management evaluates per-share accretion after interest expense and dilution—not merely aggregate EBITDA growth.</w:t>
      </w:r>
    </w:p>
    <w:bookmarkEnd w:id="18"/>
    <w:bookmarkStart w:id="22" w:name="bull-base-and-bear-cases"/>
    <w:p>
      <w:pPr>
        <w:pStyle w:val="Heading2"/>
      </w:pPr>
      <w:r>
        <w:t xml:space="preserve">Bull, base and bear cases</w:t>
      </w:r>
    </w:p>
    <w:bookmarkStart w:id="19" w:name="bull-case"/>
    <w:p>
      <w:pPr>
        <w:pStyle w:val="Heading3"/>
      </w:pPr>
      <w:r>
        <w:t xml:space="preserve">Bull case</w:t>
      </w:r>
    </w:p>
    <w:p>
      <w:pPr>
        <w:pStyle w:val="Compact"/>
        <w:numPr>
          <w:ilvl w:val="0"/>
          <w:numId w:val="1015"/>
        </w:numPr>
      </w:pPr>
      <w:r>
        <w:t xml:space="preserve">Revenue and EBITDA finish at or above the top of guidance.</w:t>
      </w:r>
    </w:p>
    <w:p>
      <w:pPr>
        <w:pStyle w:val="Compact"/>
        <w:numPr>
          <w:ilvl w:val="0"/>
          <w:numId w:val="1015"/>
        </w:numPr>
      </w:pPr>
      <w:r>
        <w:t xml:space="preserve">Paramount+ underlying additions remain strong and DTC margins hold despite heavier content spending.</w:t>
      </w:r>
    </w:p>
    <w:p>
      <w:pPr>
        <w:pStyle w:val="Compact"/>
        <w:numPr>
          <w:ilvl w:val="0"/>
          <w:numId w:val="1015"/>
        </w:numPr>
      </w:pPr>
      <w:r>
        <w:t xml:space="preserve">Advertising shows visible sequential improvement.</w:t>
      </w:r>
    </w:p>
    <w:p>
      <w:pPr>
        <w:pStyle w:val="Compact"/>
        <w:numPr>
          <w:ilvl w:val="0"/>
          <w:numId w:val="1015"/>
        </w:numPr>
      </w:pPr>
      <w:r>
        <w:t xml:space="preserve">Full-year guidance is reaffirmed or raised.</w:t>
      </w:r>
    </w:p>
    <w:p>
      <w:pPr>
        <w:pStyle w:val="Compact"/>
        <w:numPr>
          <w:ilvl w:val="0"/>
          <w:numId w:val="1015"/>
        </w:numPr>
      </w:pPr>
      <w:r>
        <w:t xml:space="preserve">Management provides a credible path to resolving the state challenge.</w:t>
      </w:r>
    </w:p>
    <w:p>
      <w:pPr>
        <w:pStyle w:val="Compact"/>
        <w:numPr>
          <w:ilvl w:val="0"/>
          <w:numId w:val="1015"/>
        </w:numPr>
      </w:pPr>
      <w:r>
        <w:t xml:space="preserve">Permanent financing is progressing at costs close to the assumptions in the pro forma filing.</w:t>
      </w:r>
    </w:p>
    <w:p>
      <w:pPr>
        <w:pStyle w:val="FirstParagraph"/>
      </w:pPr>
      <w:r>
        <w:t xml:space="preserve">This would support the argument that standalone execution is improving and that much of the transaction risk is already reflected in the stock.</w:t>
      </w:r>
    </w:p>
    <w:bookmarkEnd w:id="19"/>
    <w:bookmarkStart w:id="20" w:name="base-case"/>
    <w:p>
      <w:pPr>
        <w:pStyle w:val="Heading3"/>
      </w:pPr>
      <w:r>
        <w:t xml:space="preserve">Base case</w:t>
      </w:r>
    </w:p>
    <w:p>
      <w:pPr>
        <w:pStyle w:val="Compact"/>
        <w:numPr>
          <w:ilvl w:val="0"/>
          <w:numId w:val="1016"/>
        </w:numPr>
      </w:pPr>
      <w:r>
        <w:t xml:space="preserve">Results land near guidance.</w:t>
      </w:r>
    </w:p>
    <w:p>
      <w:pPr>
        <w:pStyle w:val="Compact"/>
        <w:numPr>
          <w:ilvl w:val="0"/>
          <w:numId w:val="1016"/>
        </w:numPr>
      </w:pPr>
      <w:r>
        <w:t xml:space="preserve">DTC remains profitable, but subscriber and advertising disclosures are mixed.</w:t>
      </w:r>
    </w:p>
    <w:p>
      <w:pPr>
        <w:pStyle w:val="Compact"/>
        <w:numPr>
          <w:ilvl w:val="0"/>
          <w:numId w:val="1016"/>
        </w:numPr>
      </w:pPr>
      <w:r>
        <w:t xml:space="preserve">Linear declines continue to be offset by cost reductions.</w:t>
      </w:r>
    </w:p>
    <w:p>
      <w:pPr>
        <w:pStyle w:val="Compact"/>
        <w:numPr>
          <w:ilvl w:val="0"/>
          <w:numId w:val="1016"/>
        </w:numPr>
      </w:pPr>
      <w:r>
        <w:t xml:space="preserve">Full-year targets are maintained.</w:t>
      </w:r>
    </w:p>
    <w:p>
      <w:pPr>
        <w:pStyle w:val="Compact"/>
        <w:numPr>
          <w:ilvl w:val="0"/>
          <w:numId w:val="1016"/>
        </w:numPr>
      </w:pPr>
      <w:r>
        <w:t xml:space="preserve">Management offers little new information about WBD because of pending litigation.</w:t>
      </w:r>
    </w:p>
    <w:p>
      <w:pPr>
        <w:pStyle w:val="FirstParagraph"/>
      </w:pPr>
      <w:r>
        <w:t xml:space="preserve">In this outcome, the stock is likely to continue trading primarily on merger headlines rather than quarterly fundamentals.</w:t>
      </w:r>
    </w:p>
    <w:bookmarkEnd w:id="20"/>
    <w:bookmarkStart w:id="21" w:name="bear-case"/>
    <w:p>
      <w:pPr>
        <w:pStyle w:val="Heading3"/>
      </w:pPr>
      <w:r>
        <w:t xml:space="preserve">Bear case</w:t>
      </w:r>
    </w:p>
    <w:p>
      <w:pPr>
        <w:pStyle w:val="Compact"/>
        <w:numPr>
          <w:ilvl w:val="0"/>
          <w:numId w:val="1017"/>
        </w:numPr>
      </w:pPr>
      <w:r>
        <w:t xml:space="preserve">Revenue falls below the midpoint and adjusted EBITDA misses the $900 million low end.</w:t>
      </w:r>
    </w:p>
    <w:p>
      <w:pPr>
        <w:pStyle w:val="Compact"/>
        <w:numPr>
          <w:ilvl w:val="0"/>
          <w:numId w:val="1017"/>
        </w:numPr>
      </w:pPr>
      <w:r>
        <w:t xml:space="preserve">DTC profitability proves dependent on accounting benefits or delayed spending.</w:t>
      </w:r>
    </w:p>
    <w:p>
      <w:pPr>
        <w:pStyle w:val="Compact"/>
        <w:numPr>
          <w:ilvl w:val="0"/>
          <w:numId w:val="1017"/>
        </w:numPr>
      </w:pPr>
      <w:r>
        <w:t xml:space="preserve">Advertising fails to improve.</w:t>
      </w:r>
    </w:p>
    <w:p>
      <w:pPr>
        <w:pStyle w:val="Compact"/>
        <w:numPr>
          <w:ilvl w:val="0"/>
          <w:numId w:val="1017"/>
        </w:numPr>
      </w:pPr>
      <w:r>
        <w:t xml:space="preserve">Free cash flow weakens more than expected.</w:t>
      </w:r>
    </w:p>
    <w:p>
      <w:pPr>
        <w:pStyle w:val="Compact"/>
        <w:numPr>
          <w:ilvl w:val="0"/>
          <w:numId w:val="1017"/>
        </w:numPr>
      </w:pPr>
      <w:r>
        <w:t xml:space="preserve">Management lowers full-year guidance.</w:t>
      </w:r>
    </w:p>
    <w:p>
      <w:pPr>
        <w:pStyle w:val="Compact"/>
        <w:numPr>
          <w:ilvl w:val="0"/>
          <w:numId w:val="1017"/>
        </w:numPr>
      </w:pPr>
      <w:r>
        <w:t xml:space="preserve">WBD financing costs rise, permanent financing is delayed, or the closing timetable becomes materially less certain.</w:t>
      </w:r>
    </w:p>
    <w:p>
      <w:pPr>
        <w:pStyle w:val="FirstParagraph"/>
      </w:pPr>
      <w:r>
        <w:t xml:space="preserve">The combination of weak standalone cash generation and a prolonged, highly leveraged acquisition process would be particularly damaging.</w:t>
      </w:r>
    </w:p>
    <w:bookmarkEnd w:id="21"/>
    <w:bookmarkEnd w:id="22"/>
    <w:bookmarkStart w:id="23" w:name="questions-investors-should-want-answered"/>
    <w:p>
      <w:pPr>
        <w:pStyle w:val="Heading2"/>
      </w:pPr>
      <w:r>
        <w:t xml:space="preserve">Questions investors should want answered</w:t>
      </w:r>
    </w:p>
    <w:p>
      <w:pPr>
        <w:pStyle w:val="Compact"/>
        <w:numPr>
          <w:ilvl w:val="0"/>
          <w:numId w:val="1018"/>
        </w:numPr>
      </w:pPr>
      <w:r>
        <w:t xml:space="preserve">What were Paramount+ gross additions, churn and organic net additions before bundle exits?</w:t>
      </w:r>
    </w:p>
    <w:p>
      <w:pPr>
        <w:pStyle w:val="Compact"/>
        <w:numPr>
          <w:ilvl w:val="0"/>
          <w:numId w:val="1018"/>
        </w:numPr>
      </w:pPr>
      <w:r>
        <w:t xml:space="preserve">How much of DTC EBITDA improvement came from purchase accounting and content timing?</w:t>
      </w:r>
    </w:p>
    <w:p>
      <w:pPr>
        <w:pStyle w:val="Compact"/>
        <w:numPr>
          <w:ilvl w:val="0"/>
          <w:numId w:val="1018"/>
        </w:numPr>
      </w:pPr>
      <w:r>
        <w:t xml:space="preserve">Has the unified streaming platform launched, and what measurable engagement or monetization changes has it produced?</w:t>
      </w:r>
    </w:p>
    <w:p>
      <w:pPr>
        <w:pStyle w:val="Compact"/>
        <w:numPr>
          <w:ilvl w:val="0"/>
          <w:numId w:val="1018"/>
        </w:numPr>
      </w:pPr>
      <w:r>
        <w:t xml:space="preserve">Does management still expect total advertising revenue to grow in the second half?</w:t>
      </w:r>
    </w:p>
    <w:p>
      <w:pPr>
        <w:pStyle w:val="Compact"/>
        <w:numPr>
          <w:ilvl w:val="0"/>
          <w:numId w:val="1018"/>
        </w:numPr>
      </w:pPr>
      <w:r>
        <w:t xml:space="preserve">How much of the $2.5 billion year-end run-rate efficiency target is already reflected in actual quarterly expenses?</w:t>
      </w:r>
    </w:p>
    <w:p>
      <w:pPr>
        <w:pStyle w:val="Compact"/>
        <w:numPr>
          <w:ilvl w:val="0"/>
          <w:numId w:val="1018"/>
        </w:numPr>
      </w:pPr>
      <w:r>
        <w:t xml:space="preserve">What is the updated 2026 free-cash-flow outlook after transformation and transaction costs?</w:t>
      </w:r>
    </w:p>
    <w:p>
      <w:pPr>
        <w:pStyle w:val="Compact"/>
        <w:numPr>
          <w:ilvl w:val="0"/>
          <w:numId w:val="1018"/>
        </w:numPr>
      </w:pPr>
      <w:r>
        <w:t xml:space="preserve">What is the earliest realistic WBD closing date given the pending state litigation?</w:t>
      </w:r>
    </w:p>
    <w:p>
      <w:pPr>
        <w:pStyle w:val="Compact"/>
        <w:numPr>
          <w:ilvl w:val="0"/>
          <w:numId w:val="1018"/>
        </w:numPr>
      </w:pPr>
      <w:r>
        <w:t xml:space="preserve">Have financing assumptions or expected interest costs changed since the July 31 pro forma filing?</w:t>
      </w:r>
    </w:p>
    <w:p>
      <w:pPr>
        <w:pStyle w:val="Compact"/>
        <w:numPr>
          <w:ilvl w:val="0"/>
          <w:numId w:val="1018"/>
        </w:numPr>
      </w:pPr>
      <w:r>
        <w:t xml:space="preserve">Are the PIPE commitments and pricing collar unaffected by a prolonged delay?</w:t>
      </w:r>
    </w:p>
    <w:p>
      <w:pPr>
        <w:pStyle w:val="Compact"/>
        <w:numPr>
          <w:ilvl w:val="0"/>
          <w:numId w:val="1018"/>
        </w:numPr>
      </w:pPr>
      <w:r>
        <w:t xml:space="preserve">What is management’s expected path to per-share accretion and deleveraging after closing?</w:t>
      </w:r>
    </w:p>
    <w:bookmarkEnd w:id="23"/>
    <w:bookmarkStart w:id="24" w:name="bottom-line"/>
    <w:p>
      <w:pPr>
        <w:pStyle w:val="Heading2"/>
      </w:pPr>
      <w:r>
        <w:t xml:space="preserve">Bottom line</w:t>
      </w:r>
    </w:p>
    <w:p>
      <w:pPr>
        <w:pStyle w:val="FirstParagraph"/>
      </w:pPr>
      <w:r>
        <w:t xml:space="preserve">The central question is no longer whether PSKY can beat a roughly</w:t>
      </w:r>
      <w:r>
        <w:t xml:space="preserve"> </w:t>
      </w:r>
      <w:r>
        <w:rPr>
          <w:b/>
          <w:bCs/>
        </w:rPr>
        <w:t xml:space="preserve">$950 million Q2 adjusted EBITDA midpoint</w:t>
      </w:r>
      <w:r>
        <w:t xml:space="preserve">. It is whether the company can demonstrate that:</w:t>
      </w:r>
    </w:p>
    <w:p>
      <w:pPr>
        <w:pStyle w:val="Compact"/>
        <w:numPr>
          <w:ilvl w:val="0"/>
          <w:numId w:val="1019"/>
        </w:numPr>
      </w:pPr>
      <w:r>
        <w:t xml:space="preserve">Streaming growth and profitability are sustainable.</w:t>
      </w:r>
    </w:p>
    <w:p>
      <w:pPr>
        <w:pStyle w:val="Compact"/>
        <w:numPr>
          <w:ilvl w:val="0"/>
          <w:numId w:val="1019"/>
        </w:numPr>
      </w:pPr>
      <w:r>
        <w:t xml:space="preserve">Cost savings are real rather than timing-related.</w:t>
      </w:r>
    </w:p>
    <w:p>
      <w:pPr>
        <w:pStyle w:val="Compact"/>
        <w:numPr>
          <w:ilvl w:val="0"/>
          <w:numId w:val="1019"/>
        </w:numPr>
      </w:pPr>
      <w:r>
        <w:t xml:space="preserve">Cash generation can eventually support a much larger debt burden.</w:t>
      </w:r>
    </w:p>
    <w:p>
      <w:pPr>
        <w:pStyle w:val="Compact"/>
        <w:numPr>
          <w:ilvl w:val="0"/>
          <w:numId w:val="1019"/>
        </w:numPr>
      </w:pPr>
      <w:r>
        <w:t xml:space="preserve">The WBD transaction remains financeable and economically attractive on a</w:t>
      </w:r>
      <w:r>
        <w:t xml:space="preserve"> </w:t>
      </w:r>
      <w:r>
        <w:rPr>
          <w:b/>
          <w:bCs/>
        </w:rPr>
        <w:t xml:space="preserve">per-share</w:t>
      </w:r>
      <w:r>
        <w:t xml:space="preserve"> </w:t>
      </w:r>
      <w:r>
        <w:t xml:space="preserve">basis.</w:t>
      </w:r>
    </w:p>
    <w:p>
      <w:pPr>
        <w:pStyle w:val="FirstParagraph"/>
      </w:pPr>
      <w:r>
        <w:t xml:space="preserve">A clean operational beat would be constructive, especially after the stock’s steep decline. But absent clarity on litigation, financing and dilution, quarterly results alone are unlikely to settle the investment debate.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2026-08-04T01:47:22Z</dcterms:created>
  <dcterms:modified xsi:type="dcterms:W3CDTF">2026-08-04T01:47:22Z</dcterms:modified>
</cp:coreProperties>
</file>

<file path=docProps/custom.xml><?xml version="1.0" encoding="utf-8"?>
<Properties xmlns="http://schemas.openxmlformats.org/officeDocument/2006/custom-properties" xmlns:vt="http://schemas.openxmlformats.org/officeDocument/2006/docPropsVTypes"/>
</file>