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Paramount Skydance (PSKY)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Paramount Skydance Corporation</w:t>
            </w:r>
          </w:p>
        </w:tc>
      </w:tr>
      <w:tr>
        <w:tc>
          <w:tcPr>
            <w:tcW w:type="dxa" w:w="4320"/>
          </w:tcPr>
          <w:p>
            <w:r>
              <w:rPr>
                <w:rFonts w:ascii="Calibri" w:hAnsi="Calibri"/>
                <w:b/>
                <w:sz w:val="22"/>
              </w:rPr>
              <w:t>Ticker</w:t>
            </w:r>
          </w:p>
        </w:tc>
        <w:tc>
          <w:tcPr>
            <w:tcW w:type="dxa" w:w="4320"/>
          </w:tcPr>
          <w:p>
            <w:r>
              <w:rPr>
                <w:rFonts w:ascii="Calibri" w:hAnsi="Calibri"/>
                <w:sz w:val="22"/>
              </w:rPr>
              <w:t>PSKY</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XLC (Communication Services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is mixed-to-cautious — consensus is a manageable bar on DTC metrics but the </w:t>
      </w:r>
      <w:r>
        <w:rPr>
          <w:rFonts w:ascii="Calibri" w:hAnsi="Calibri"/>
          <w:b/>
          <w:color w:val="525866"/>
          <w:sz w:val="22"/>
        </w:rPr>
        <w:t>WBD merger delay</w:t>
      </w:r>
      <w:r>
        <w:rPr>
          <w:rFonts w:ascii="Calibri" w:hAnsi="Calibri"/>
          <w:color w:val="525866"/>
          <w:sz w:val="22"/>
        </w:rPr>
        <w:t xml:space="preserve"> (now paused until at least June 2027 pending state litigation) is the dominant overhang, and the stock has already de-rated ~28% since Q1 earnings, suggesting the market is pricing in meaningful deal-close risk rather than operational upside.</w:t>
      </w:r>
    </w:p>
    <w:p>
      <w:r>
        <w:rPr>
          <w:rFonts w:ascii="Calibri" w:hAnsi="Calibri"/>
          <w:color w:val="525866"/>
          <w:sz w:val="22"/>
        </w:rPr>
        <w:t xml:space="preserve">Heading into the Q2 2026 print, the fundamental story at PSKY is actually constructive: </w:t>
      </w:r>
      <w:r>
        <w:rPr>
          <w:rFonts w:ascii="Calibri" w:hAnsi="Calibri"/>
          <w:b/>
          <w:color w:val="525866"/>
          <w:sz w:val="22"/>
        </w:rPr>
        <w:t>Paramount+ ARPU</w:t>
      </w:r>
      <w:r>
        <w:rPr>
          <w:rFonts w:ascii="Calibri" w:hAnsi="Calibri"/>
          <w:color w:val="525866"/>
          <w:sz w:val="22"/>
        </w:rPr>
        <w:t xml:space="preserve"> is tracking well above year-ago levels following the January price increase (Q1 ARPU of $8.30 vs. $7.63 a year prior), DTC advertising returned to growth in Q1, and the UFC partnership continues to exceed expectations on viewership and ad demand. Management guided Q2 revenue roughly flat year-over-year and reiterated full-year adjusted OIBDA guidance of ~$3.5B at the May MoffettNathanson conference, signaling confidence in the standalone trajectory. Estimate revisions have been modestly negative since Q1 — Q2 consensus revenue sits at ~$6.87B and adjusted OIBDA at ~$876M — but the bar is not stretched, and lighter-than-expected content expense timing (a Q1 tailwind) could recur. The stock has underperformed XLC by roughly 20 percentage points since the Q1 print, driven almost entirely by </w:t>
      </w:r>
      <w:r>
        <w:rPr>
          <w:rFonts w:ascii="Calibri" w:hAnsi="Calibri"/>
          <w:b/>
          <w:color w:val="525866"/>
          <w:sz w:val="22"/>
        </w:rPr>
        <w:t>multiple compression</w:t>
      </w:r>
      <w:r>
        <w:rPr>
          <w:rFonts w:ascii="Calibri" w:hAnsi="Calibri"/>
          <w:color w:val="525866"/>
          <w:sz w:val="22"/>
        </w:rPr>
        <w:t xml:space="preserve"> as WBD deal uncertainty escalated: a federal judge temporarily halted the merger on July 20, the companies announced a pause until at least June 2027 on July 24, and Wall Street is now pricing roughly 50/50 odds of deal completion. The wildcard for the print is </w:t>
      </w:r>
      <w:r>
        <w:rPr>
          <w:rFonts w:ascii="Calibri" w:hAnsi="Calibri"/>
          <w:b/>
          <w:color w:val="525866"/>
          <w:sz w:val="22"/>
        </w:rPr>
        <w:t>DTC margin trajectory</w:t>
      </w:r>
      <w:r>
        <w:rPr>
          <w:rFonts w:ascii="Calibri" w:hAnsi="Calibri"/>
          <w:color w:val="525866"/>
          <w:sz w:val="22"/>
        </w:rPr>
        <w:t xml:space="preserve"> — management flagged Q3/Q4 content slate pressure, so any Q2 DTC OIBDA beat (consensus ~$289M) combined with a constructive tone on the standalone business could be the catalyst for a relief rally, even as the WBD overhang persists.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on most metrics — DTC OIBDA (~$289M) and Paramount+ ARPU (~$8.63) are the bigger swing factors, while total revenue (~$6.87B, roughly flat YoY) leaves little room for a TV Media miss. The DTC profitability trajectory is the most watched KPI given management’s flagged H2 content cost pressure.</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 FY)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$7.347B</w:t>
            </w:r>
          </w:p>
        </w:tc>
        <w:tc>
          <w:tcPr>
            <w:tcW w:type="dxa" w:w="1234"/>
          </w:tcPr>
          <w:p>
            <w:r>
              <w:rPr>
                <w:rFonts w:ascii="Calibri" w:hAnsi="Calibri"/>
                <w:sz w:val="22"/>
              </w:rPr>
              <w:t>$6.849B</w:t>
            </w:r>
          </w:p>
        </w:tc>
        <w:tc>
          <w:tcPr>
            <w:tcW w:type="dxa" w:w="1234"/>
          </w:tcPr>
          <w:p>
            <w:r>
              <w:rPr>
                <w:rFonts w:ascii="Calibri" w:hAnsi="Calibri"/>
                <w:sz w:val="22"/>
              </w:rPr>
              <w:t>$6.865B</w:t>
            </w:r>
          </w:p>
        </w:tc>
        <w:tc>
          <w:tcPr>
            <w:tcW w:type="dxa" w:w="1234"/>
          </w:tcPr>
          <w:p>
            <w:r>
              <w:rPr>
                <w:rFonts w:ascii="Calibri" w:hAnsi="Calibri"/>
                <w:sz w:val="22"/>
              </w:rPr>
              <w:t>+0.2% YoY</w:t>
            </w:r>
          </w:p>
        </w:tc>
        <w:tc>
          <w:tcPr>
            <w:tcW w:type="dxa" w:w="1234"/>
          </w:tcPr>
          <w:p>
            <w:r>
              <w:rPr>
                <w:rFonts w:ascii="Calibri" w:hAnsi="Calibri"/>
                <w:sz w:val="22"/>
              </w:rPr>
              <w:t>Q2: ~flat YoY (mgmt); FY: ~$30B</w:t>
            </w:r>
          </w:p>
        </w:tc>
        <w:tc>
          <w:tcPr>
            <w:tcW w:type="dxa" w:w="1234"/>
          </w:tcPr>
          <w:p>
            <w:r>
              <w:rPr>
                <w:rFonts w:ascii="Calibri" w:hAnsi="Calibri"/>
                <w:sz w:val="22"/>
              </w:rPr>
              <w:t>~In line with Q2 guide; FY cons. $29.85B vs. $30B guide (~−0.5%)</w:t>
            </w:r>
          </w:p>
        </w:tc>
      </w:tr>
      <w:tr>
        <w:tc>
          <w:tcPr>
            <w:tcW w:type="dxa" w:w="1234"/>
          </w:tcPr>
          <w:p>
            <w:r>
              <w:rPr>
                <w:rFonts w:ascii="Calibri" w:hAnsi="Calibri"/>
                <w:sz w:val="22"/>
              </w:rPr>
              <w:t>Adjusted OIBDA ($M)</w:t>
            </w:r>
          </w:p>
        </w:tc>
        <w:tc>
          <w:tcPr>
            <w:tcW w:type="dxa" w:w="1234"/>
          </w:tcPr>
          <w:p>
            <w:r>
              <w:rPr>
                <w:rFonts w:ascii="Calibri" w:hAnsi="Calibri"/>
                <w:sz w:val="22"/>
              </w:rPr>
              <w:t>$1,081M</w:t>
            </w:r>
          </w:p>
        </w:tc>
        <w:tc>
          <w:tcPr>
            <w:tcW w:type="dxa" w:w="1234"/>
          </w:tcPr>
          <w:p>
            <w:r>
              <w:rPr>
                <w:rFonts w:ascii="Calibri" w:hAnsi="Calibri"/>
                <w:sz w:val="22"/>
              </w:rPr>
              <w:t>$863M</w:t>
            </w:r>
          </w:p>
        </w:tc>
        <w:tc>
          <w:tcPr>
            <w:tcW w:type="dxa" w:w="1234"/>
          </w:tcPr>
          <w:p>
            <w:r>
              <w:rPr>
                <w:rFonts w:ascii="Calibri" w:hAnsi="Calibri"/>
                <w:sz w:val="22"/>
              </w:rPr>
              <w:t>$876M</w:t>
            </w:r>
          </w:p>
        </w:tc>
        <w:tc>
          <w:tcPr>
            <w:tcW w:type="dxa" w:w="1234"/>
          </w:tcPr>
          <w:p>
            <w:r>
              <w:rPr>
                <w:rFonts w:ascii="Calibri" w:hAnsi="Calibri"/>
                <w:sz w:val="22"/>
              </w:rPr>
              <w:t>+1.5% YoY</w:t>
            </w:r>
          </w:p>
        </w:tc>
        <w:tc>
          <w:tcPr>
            <w:tcW w:type="dxa" w:w="1234"/>
          </w:tcPr>
          <w:p>
            <w:r>
              <w:rPr>
                <w:rFonts w:ascii="Calibri" w:hAnsi="Calibri"/>
                <w:sz w:val="22"/>
              </w:rPr>
              <w:t>FY: ~$3.5B (mgmt)</w:t>
            </w:r>
          </w:p>
        </w:tc>
        <w:tc>
          <w:tcPr>
            <w:tcW w:type="dxa" w:w="1234"/>
          </w:tcPr>
          <w:p>
            <w:r>
              <w:rPr>
                <w:rFonts w:ascii="Calibri" w:hAnsi="Calibri"/>
                <w:sz w:val="22"/>
              </w:rPr>
              <w:t>FY cons. $3.538B vs. $3.5B guide (+1.1%)</w:t>
            </w:r>
          </w:p>
        </w:tc>
      </w:tr>
      <w:tr>
        <w:tc>
          <w:tcPr>
            <w:tcW w:type="dxa" w:w="1234"/>
          </w:tcPr>
          <w:p>
            <w:r>
              <w:rPr>
                <w:rFonts w:ascii="Calibri" w:hAnsi="Calibri"/>
                <w:sz w:val="22"/>
              </w:rPr>
              <w:t>Adjusted OIBDA — DTC ($M)</w:t>
            </w:r>
          </w:p>
        </w:tc>
        <w:tc>
          <w:tcPr>
            <w:tcW w:type="dxa" w:w="1234"/>
          </w:tcPr>
          <w:p>
            <w:r>
              <w:rPr>
                <w:rFonts w:ascii="Calibri" w:hAnsi="Calibri"/>
                <w:sz w:val="22"/>
              </w:rPr>
              <w:t>$251M</w:t>
            </w:r>
          </w:p>
        </w:tc>
        <w:tc>
          <w:tcPr>
            <w:tcW w:type="dxa" w:w="1234"/>
          </w:tcPr>
          <w:p>
            <w:r>
              <w:rPr>
                <w:rFonts w:ascii="Calibri" w:hAnsi="Calibri"/>
                <w:sz w:val="22"/>
              </w:rPr>
              <w:t>$254M</w:t>
            </w:r>
          </w:p>
        </w:tc>
        <w:tc>
          <w:tcPr>
            <w:tcW w:type="dxa" w:w="1234"/>
          </w:tcPr>
          <w:p>
            <w:r>
              <w:rPr>
                <w:rFonts w:ascii="Calibri" w:hAnsi="Calibri"/>
                <w:sz w:val="22"/>
              </w:rPr>
              <w:t>$289M</w:t>
            </w:r>
          </w:p>
        </w:tc>
        <w:tc>
          <w:tcPr>
            <w:tcW w:type="dxa" w:w="1234"/>
          </w:tcPr>
          <w:p>
            <w:r>
              <w:rPr>
                <w:rFonts w:ascii="Calibri" w:hAnsi="Calibri"/>
                <w:sz w:val="22"/>
              </w:rPr>
              <w:t>+13.8% YoY</w:t>
            </w:r>
          </w:p>
        </w:tc>
        <w:tc>
          <w:tcPr>
            <w:tcW w:type="dxa" w:w="1234"/>
          </w:tcPr>
          <w:p>
            <w:r>
              <w:rPr>
                <w:rFonts w:ascii="Calibri" w:hAnsi="Calibri"/>
                <w:sz w:val="22"/>
              </w:rPr>
              <w:t>FY: ~$940M (VA cons.)</w:t>
            </w:r>
          </w:p>
        </w:tc>
        <w:tc>
          <w:tcPr>
            <w:tcW w:type="dxa" w:w="1234"/>
          </w:tcPr>
          <w:p>
            <w:r>
              <w:rPr>
                <w:rFonts w:ascii="Calibri" w:hAnsi="Calibri"/>
                <w:sz w:val="22"/>
              </w:rPr>
              <w:t>N/A — no explicit Q2 DTC OIBDA guide</w:t>
            </w:r>
          </w:p>
        </w:tc>
      </w:tr>
      <w:tr>
        <w:tc>
          <w:tcPr>
            <w:tcW w:type="dxa" w:w="1234"/>
          </w:tcPr>
          <w:p>
            <w:r>
              <w:rPr>
                <w:rFonts w:ascii="Calibri" w:hAnsi="Calibri"/>
                <w:sz w:val="22"/>
              </w:rPr>
              <w:t>Paramount+ Ending Subs (M)</w:t>
            </w:r>
          </w:p>
        </w:tc>
        <w:tc>
          <w:tcPr>
            <w:tcW w:type="dxa" w:w="1234"/>
          </w:tcPr>
          <w:p>
            <w:r>
              <w:rPr>
                <w:rFonts w:ascii="Calibri" w:hAnsi="Calibri"/>
                <w:sz w:val="22"/>
              </w:rPr>
              <w:t>79.6M</w:t>
            </w:r>
          </w:p>
        </w:tc>
        <w:tc>
          <w:tcPr>
            <w:tcW w:type="dxa" w:w="1234"/>
          </w:tcPr>
          <w:p>
            <w:r>
              <w:rPr>
                <w:rFonts w:ascii="Calibri" w:hAnsi="Calibri"/>
                <w:sz w:val="22"/>
              </w:rPr>
              <w:t>76.8M</w:t>
            </w:r>
          </w:p>
        </w:tc>
        <w:tc>
          <w:tcPr>
            <w:tcW w:type="dxa" w:w="1234"/>
          </w:tcPr>
          <w:p>
            <w:r>
              <w:rPr>
                <w:rFonts w:ascii="Calibri" w:hAnsi="Calibri"/>
                <w:sz w:val="22"/>
              </w:rPr>
              <w:t>79.6M</w:t>
            </w:r>
          </w:p>
        </w:tc>
        <w:tc>
          <w:tcPr>
            <w:tcW w:type="dxa" w:w="1234"/>
          </w:tcPr>
          <w:p>
            <w:r>
              <w:rPr>
                <w:rFonts w:ascii="Calibri" w:hAnsi="Calibri"/>
                <w:sz w:val="22"/>
              </w:rPr>
              <w:t>+3.6% YoY</w:t>
            </w:r>
          </w:p>
        </w:tc>
        <w:tc>
          <w:tcPr>
            <w:tcW w:type="dxa" w:w="1234"/>
          </w:tcPr>
          <w:p>
            <w:r>
              <w:rPr>
                <w:rFonts w:ascii="Calibri" w:hAnsi="Calibri"/>
                <w:sz w:val="22"/>
              </w:rPr>
              <w:t>Healthy underlying growth; shedding low-ARPU intl. bundles</w:t>
            </w:r>
          </w:p>
        </w:tc>
        <w:tc>
          <w:tcPr>
            <w:tcW w:type="dxa" w:w="1234"/>
          </w:tcPr>
          <w:p>
            <w:r>
              <w:rPr>
                <w:rFonts w:ascii="Calibri" w:hAnsi="Calibri"/>
                <w:sz w:val="22"/>
              </w:rPr>
              <w:t>Cons. ~flat vs. Q1 actual; reflects bundle exits</w:t>
            </w:r>
          </w:p>
        </w:tc>
      </w:tr>
      <w:tr>
        <w:tc>
          <w:tcPr>
            <w:tcW w:type="dxa" w:w="1234"/>
          </w:tcPr>
          <w:p>
            <w:r>
              <w:rPr>
                <w:rFonts w:ascii="Calibri" w:hAnsi="Calibri"/>
                <w:sz w:val="22"/>
              </w:rPr>
              <w:t>Paramount+ ARPU ($)</w:t>
            </w:r>
          </w:p>
        </w:tc>
        <w:tc>
          <w:tcPr>
            <w:tcW w:type="dxa" w:w="1234"/>
          </w:tcPr>
          <w:p>
            <w:r>
              <w:rPr>
                <w:rFonts w:ascii="Calibri" w:hAnsi="Calibri"/>
                <w:sz w:val="22"/>
              </w:rPr>
              <w:t>$8.30</w:t>
            </w:r>
          </w:p>
        </w:tc>
        <w:tc>
          <w:tcPr>
            <w:tcW w:type="dxa" w:w="1234"/>
          </w:tcPr>
          <w:p>
            <w:r>
              <w:rPr>
                <w:rFonts w:ascii="Calibri" w:hAnsi="Calibri"/>
                <w:sz w:val="22"/>
              </w:rPr>
              <w:t>$7.64</w:t>
            </w:r>
          </w:p>
        </w:tc>
        <w:tc>
          <w:tcPr>
            <w:tcW w:type="dxa" w:w="1234"/>
          </w:tcPr>
          <w:p>
            <w:r>
              <w:rPr>
                <w:rFonts w:ascii="Calibri" w:hAnsi="Calibri"/>
                <w:sz w:val="22"/>
              </w:rPr>
              <w:t>$8.63</w:t>
            </w:r>
          </w:p>
        </w:tc>
        <w:tc>
          <w:tcPr>
            <w:tcW w:type="dxa" w:w="1234"/>
          </w:tcPr>
          <w:p>
            <w:r>
              <w:rPr>
                <w:rFonts w:ascii="Calibri" w:hAnsi="Calibri"/>
                <w:sz w:val="22"/>
              </w:rPr>
              <w:t>+12.9% YoY</w:t>
            </w:r>
          </w:p>
        </w:tc>
        <w:tc>
          <w:tcPr>
            <w:tcW w:type="dxa" w:w="1234"/>
          </w:tcPr>
          <w:p>
            <w:r>
              <w:rPr>
                <w:rFonts w:ascii="Calibri" w:hAnsi="Calibri"/>
                <w:sz w:val="22"/>
              </w:rPr>
              <w:t>Continued ARPU expansion from Jan. price hike &amp; mix shift</w:t>
            </w:r>
          </w:p>
        </w:tc>
        <w:tc>
          <w:tcPr>
            <w:tcW w:type="dxa" w:w="1234"/>
          </w:tcPr>
          <w:p>
            <w:r>
              <w:rPr>
                <w:rFonts w:ascii="Calibri" w:hAnsi="Calibri"/>
                <w:sz w:val="22"/>
              </w:rPr>
              <w:t>N/A — no explicit ARPU guide</w:t>
            </w:r>
          </w:p>
        </w:tc>
      </w:tr>
      <w:tr>
        <w:tc>
          <w:tcPr>
            <w:tcW w:type="dxa" w:w="1234"/>
          </w:tcPr>
          <w:p>
            <w:r>
              <w:rPr>
                <w:rFonts w:ascii="Calibri" w:hAnsi="Calibri"/>
                <w:sz w:val="22"/>
              </w:rPr>
              <w:t>Diluted EPS — Operating ($)</w:t>
            </w:r>
          </w:p>
        </w:tc>
        <w:tc>
          <w:tcPr>
            <w:tcW w:type="dxa" w:w="1234"/>
          </w:tcPr>
          <w:p>
            <w:r>
              <w:rPr>
                <w:rFonts w:ascii="Calibri" w:hAnsi="Calibri"/>
                <w:sz w:val="22"/>
              </w:rPr>
              <w:t>$0.23</w:t>
            </w:r>
          </w:p>
        </w:tc>
        <w:tc>
          <w:tcPr>
            <w:tcW w:type="dxa" w:w="1234"/>
          </w:tcPr>
          <w:p>
            <w:r>
              <w:rPr>
                <w:rFonts w:ascii="Calibri" w:hAnsi="Calibri"/>
                <w:sz w:val="22"/>
              </w:rPr>
              <w:t>$0.46</w:t>
            </w:r>
          </w:p>
        </w:tc>
        <w:tc>
          <w:tcPr>
            <w:tcW w:type="dxa" w:w="1234"/>
          </w:tcPr>
          <w:p>
            <w:r>
              <w:rPr>
                <w:rFonts w:ascii="Calibri" w:hAnsi="Calibri"/>
                <w:sz w:val="22"/>
              </w:rPr>
              <w:t>$0.17</w:t>
            </w:r>
          </w:p>
        </w:tc>
        <w:tc>
          <w:tcPr>
            <w:tcW w:type="dxa" w:w="1234"/>
          </w:tcPr>
          <w:p>
            <w:r>
              <w:rPr>
                <w:rFonts w:ascii="Calibri" w:hAnsi="Calibri"/>
                <w:sz w:val="22"/>
              </w:rPr>
              <w:t>−63% YoY</w:t>
            </w:r>
          </w:p>
        </w:tc>
        <w:tc>
          <w:tcPr>
            <w:tcW w:type="dxa" w:w="1234"/>
          </w:tcPr>
          <w:p>
            <w:r>
              <w:rPr>
                <w:rFonts w:ascii="Calibri" w:hAnsi="Calibri"/>
                <w:sz w:val="22"/>
              </w:rPr>
              <w:t>FY: ~$0.62 (VA cons.)</w:t>
            </w:r>
          </w:p>
        </w:tc>
        <w:tc>
          <w:tcPr>
            <w:tcW w:type="dxa" w:w="1234"/>
          </w:tcPr>
          <w:p>
            <w:r>
              <w:rPr>
                <w:rFonts w:ascii="Calibri" w:hAnsi="Calibri"/>
                <w:sz w:val="22"/>
              </w:rPr>
              <w:t>N/A — no explicit EPS guide</w:t>
            </w:r>
          </w:p>
        </w:tc>
      </w:tr>
    </w:tbl>
    <w:p>
      <w:r>
        <w:rPr>
          <w:rFonts w:ascii="Calibri" w:hAnsi="Calibri"/>
          <w:i/>
          <w:color w:val="525866"/>
          <w:sz w:val="22"/>
        </w:rPr>
        <w:t>Sources: Visible Alpha Consensus and Actuals Data (Revenue, Adjusted OIBDA, Adjusted OIBDA — DTC, Paramount+ Ending Subs, ARPU, Diluted EPS — Operating). Q2 2026 guidance language from Q1 2026 Earnings Call (May 4, 2026) and MoffettNathanson Conference (May 13, 2026).</w:t>
      </w:r>
    </w:p>
    <w:p>
      <w:pPr>
        <w:pStyle w:val="Heading2"/>
      </w:pPr>
      <w:r>
        <w:rPr>
          <w:rFonts w:ascii="Calibri" w:hAnsi="Calibri"/>
          <w:b/>
          <w:color w:val="3B4259"/>
          <w:sz w:val="28"/>
        </w:rPr>
        <w:t>Table 2 — Beat / Miss History (Last 8 Quarters) — Top 2 KPIs: Revenue &amp; Adjusted OIBDA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$7.347B</w:t>
            </w:r>
          </w:p>
        </w:tc>
        <w:tc>
          <w:tcPr>
            <w:tcW w:type="dxa" w:w="1440"/>
          </w:tcPr>
          <w:p>
            <w:r>
              <w:rPr>
                <w:rFonts w:ascii="Calibri" w:hAnsi="Calibri"/>
                <w:sz w:val="22"/>
              </w:rPr>
              <w:t>$7.271B</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OIBDA</w:t>
            </w:r>
          </w:p>
        </w:tc>
        <w:tc>
          <w:tcPr>
            <w:tcW w:type="dxa" w:w="1440"/>
          </w:tcPr>
          <w:p>
            <w:r>
              <w:rPr>
                <w:rFonts w:ascii="Calibri" w:hAnsi="Calibri"/>
                <w:sz w:val="22"/>
              </w:rPr>
              <w:t>$1,081M</w:t>
            </w:r>
          </w:p>
        </w:tc>
        <w:tc>
          <w:tcPr>
            <w:tcW w:type="dxa" w:w="1440"/>
          </w:tcPr>
          <w:p>
            <w:r>
              <w:rPr>
                <w:rFonts w:ascii="Calibri" w:hAnsi="Calibri"/>
                <w:sz w:val="22"/>
              </w:rPr>
              <w:t>$887M</w:t>
            </w:r>
          </w:p>
        </w:tc>
        <w:tc>
          <w:tcPr>
            <w:tcW w:type="dxa" w:w="1440"/>
          </w:tcPr>
          <w:p>
            <w:r>
              <w:rPr>
                <w:rFonts w:ascii="Calibri" w:hAnsi="Calibri"/>
                <w:sz w:val="22"/>
              </w:rPr>
              <w:t>+21.9%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$8.148B</w:t>
            </w:r>
          </w:p>
        </w:tc>
        <w:tc>
          <w:tcPr>
            <w:tcW w:type="dxa" w:w="1440"/>
          </w:tcPr>
          <w:p>
            <w:r>
              <w:rPr>
                <w:rFonts w:ascii="Calibri" w:hAnsi="Calibri"/>
                <w:sz w:val="22"/>
              </w:rPr>
              <w:t>$8.139B</w:t>
            </w:r>
          </w:p>
        </w:tc>
        <w:tc>
          <w:tcPr>
            <w:tcW w:type="dxa" w:w="1440"/>
          </w:tcPr>
          <w:p>
            <w:r>
              <w:rPr>
                <w:rFonts w:ascii="Calibri" w:hAnsi="Calibri"/>
                <w:sz w:val="22"/>
              </w:rPr>
              <w:t>+0.1%</w:t>
            </w:r>
          </w:p>
        </w:tc>
        <w:tc>
          <w:tcPr>
            <w:tcW w:type="dxa" w:w="1440"/>
          </w:tcPr>
          <w:p>
            <w:r>
              <w:rPr>
                <w:rFonts w:ascii="Calibri" w:hAnsi="Calibri"/>
                <w:b/>
                <w:color w:val="30A46C"/>
                <w:sz w:val="22"/>
              </w:rPr>
              <w:t>In Line</w:t>
            </w:r>
          </w:p>
        </w:tc>
      </w:tr>
      <w:tr>
        <w:tc>
          <w:tcPr>
            <w:tcW w:type="dxa" w:w="1440"/>
          </w:tcPr>
          <w:p>
            <w:r>
              <w:rPr>
                <w:rFonts w:ascii="Calibri" w:hAnsi="Calibri"/>
                <w:sz w:val="22"/>
              </w:rPr>
              <w:t>Q4 2025</w:t>
            </w:r>
          </w:p>
        </w:tc>
        <w:tc>
          <w:tcPr>
            <w:tcW w:type="dxa" w:w="1440"/>
          </w:tcPr>
          <w:p>
            <w:r>
              <w:rPr>
                <w:rFonts w:ascii="Calibri" w:hAnsi="Calibri"/>
                <w:sz w:val="22"/>
              </w:rPr>
              <w:t>Adj. OIBDA</w:t>
            </w:r>
          </w:p>
        </w:tc>
        <w:tc>
          <w:tcPr>
            <w:tcW w:type="dxa" w:w="1440"/>
          </w:tcPr>
          <w:p>
            <w:r>
              <w:rPr>
                <w:rFonts w:ascii="Calibri" w:hAnsi="Calibri"/>
                <w:sz w:val="22"/>
              </w:rPr>
              <w:t>$612M</w:t>
            </w:r>
          </w:p>
        </w:tc>
        <w:tc>
          <w:tcPr>
            <w:tcW w:type="dxa" w:w="1440"/>
          </w:tcPr>
          <w:p>
            <w:r>
              <w:rPr>
                <w:rFonts w:ascii="Calibri" w:hAnsi="Calibri"/>
                <w:sz w:val="22"/>
              </w:rPr>
              <w:t>$569M</w:t>
            </w:r>
          </w:p>
        </w:tc>
        <w:tc>
          <w:tcPr>
            <w:tcW w:type="dxa" w:w="1440"/>
          </w:tcPr>
          <w:p>
            <w:r>
              <w:rPr>
                <w:rFonts w:ascii="Calibri" w:hAnsi="Calibri"/>
                <w:sz w:val="22"/>
              </w:rPr>
              <w:t>+7.6%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$6.702B</w:t>
            </w:r>
          </w:p>
        </w:tc>
        <w:tc>
          <w:tcPr>
            <w:tcW w:type="dxa" w:w="1440"/>
          </w:tcPr>
          <w:p>
            <w:r>
              <w:rPr>
                <w:rFonts w:ascii="Calibri" w:hAnsi="Calibri"/>
                <w:sz w:val="22"/>
              </w:rPr>
              <w:t>$7.101B</w:t>
            </w:r>
          </w:p>
        </w:tc>
        <w:tc>
          <w:tcPr>
            <w:tcW w:type="dxa" w:w="1440"/>
          </w:tcPr>
          <w:p>
            <w:r>
              <w:rPr>
                <w:rFonts w:ascii="Calibri" w:hAnsi="Calibri"/>
                <w:sz w:val="22"/>
              </w:rPr>
              <w:t>−5.6%</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OIBDA</w:t>
            </w:r>
          </w:p>
        </w:tc>
        <w:tc>
          <w:tcPr>
            <w:tcW w:type="dxa" w:w="1440"/>
          </w:tcPr>
          <w:p>
            <w:r>
              <w:rPr>
                <w:rFonts w:ascii="Calibri" w:hAnsi="Calibri"/>
                <w:sz w:val="22"/>
              </w:rPr>
              <w:t>$997M</w:t>
            </w:r>
          </w:p>
        </w:tc>
        <w:tc>
          <w:tcPr>
            <w:tcW w:type="dxa" w:w="1440"/>
          </w:tcPr>
          <w:p>
            <w:r>
              <w:rPr>
                <w:rFonts w:ascii="Calibri" w:hAnsi="Calibri"/>
                <w:sz w:val="22"/>
              </w:rPr>
              <w:t>$906M</w:t>
            </w:r>
          </w:p>
        </w:tc>
        <w:tc>
          <w:tcPr>
            <w:tcW w:type="dxa" w:w="1440"/>
          </w:tcPr>
          <w:p>
            <w:r>
              <w:rPr>
                <w:rFonts w:ascii="Calibri" w:hAnsi="Calibri"/>
                <w:sz w:val="22"/>
              </w:rPr>
              <w:t>+10.1%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$6.849B</w:t>
            </w:r>
          </w:p>
        </w:tc>
        <w:tc>
          <w:tcPr>
            <w:tcW w:type="dxa" w:w="1440"/>
          </w:tcPr>
          <w:p>
            <w:r>
              <w:rPr>
                <w:rFonts w:ascii="Calibri" w:hAnsi="Calibri"/>
                <w:sz w:val="22"/>
              </w:rPr>
              <w:t>$6.862B</w:t>
            </w:r>
          </w:p>
        </w:tc>
        <w:tc>
          <w:tcPr>
            <w:tcW w:type="dxa" w:w="1440"/>
          </w:tcPr>
          <w:p>
            <w:r>
              <w:rPr>
                <w:rFonts w:ascii="Calibri" w:hAnsi="Calibri"/>
                <w:sz w:val="22"/>
              </w:rPr>
              <w:t>−0.2%</w:t>
            </w:r>
          </w:p>
        </w:tc>
        <w:tc>
          <w:tcPr>
            <w:tcW w:type="dxa" w:w="1440"/>
          </w:tcPr>
          <w:p>
            <w:r>
              <w:rPr>
                <w:rFonts w:ascii="Calibri" w:hAnsi="Calibri"/>
                <w:b/>
                <w:color w:val="30A46C"/>
                <w:sz w:val="22"/>
              </w:rPr>
              <w:t>In Line</w:t>
            </w:r>
          </w:p>
        </w:tc>
      </w:tr>
      <w:tr>
        <w:tc>
          <w:tcPr>
            <w:tcW w:type="dxa" w:w="1440"/>
          </w:tcPr>
          <w:p>
            <w:r>
              <w:rPr>
                <w:rFonts w:ascii="Calibri" w:hAnsi="Calibri"/>
                <w:sz w:val="22"/>
              </w:rPr>
              <w:t>Q2 2025</w:t>
            </w:r>
          </w:p>
        </w:tc>
        <w:tc>
          <w:tcPr>
            <w:tcW w:type="dxa" w:w="1440"/>
          </w:tcPr>
          <w:p>
            <w:r>
              <w:rPr>
                <w:rFonts w:ascii="Calibri" w:hAnsi="Calibri"/>
                <w:sz w:val="22"/>
              </w:rPr>
              <w:t>Adj. OIBDA</w:t>
            </w:r>
          </w:p>
        </w:tc>
        <w:tc>
          <w:tcPr>
            <w:tcW w:type="dxa" w:w="1440"/>
          </w:tcPr>
          <w:p>
            <w:r>
              <w:rPr>
                <w:rFonts w:ascii="Calibri" w:hAnsi="Calibri"/>
                <w:sz w:val="22"/>
              </w:rPr>
              <w:t>$863M</w:t>
            </w:r>
          </w:p>
        </w:tc>
        <w:tc>
          <w:tcPr>
            <w:tcW w:type="dxa" w:w="1440"/>
          </w:tcPr>
          <w:p>
            <w:r>
              <w:rPr>
                <w:rFonts w:ascii="Calibri" w:hAnsi="Calibri"/>
                <w:sz w:val="22"/>
              </w:rPr>
              <w:t>$752M</w:t>
            </w:r>
          </w:p>
        </w:tc>
        <w:tc>
          <w:tcPr>
            <w:tcW w:type="dxa" w:w="1440"/>
          </w:tcPr>
          <w:p>
            <w:r>
              <w:rPr>
                <w:rFonts w:ascii="Calibri" w:hAnsi="Calibri"/>
                <w:sz w:val="22"/>
              </w:rPr>
              <w:t>+14.7%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$7.192B</w:t>
            </w:r>
          </w:p>
        </w:tc>
        <w:tc>
          <w:tcPr>
            <w:tcW w:type="dxa" w:w="1440"/>
          </w:tcPr>
          <w:p>
            <w:r>
              <w:rPr>
                <w:rFonts w:ascii="Calibri" w:hAnsi="Calibri"/>
                <w:sz w:val="22"/>
              </w:rPr>
              <w:t>$7.097B</w:t>
            </w:r>
          </w:p>
        </w:tc>
        <w:tc>
          <w:tcPr>
            <w:tcW w:type="dxa" w:w="1440"/>
          </w:tcPr>
          <w:p>
            <w:r>
              <w:rPr>
                <w:rFonts w:ascii="Calibri" w:hAnsi="Calibri"/>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OIBDA</w:t>
            </w:r>
          </w:p>
        </w:tc>
        <w:tc>
          <w:tcPr>
            <w:tcW w:type="dxa" w:w="1440"/>
          </w:tcPr>
          <w:p>
            <w:r>
              <w:rPr>
                <w:rFonts w:ascii="Calibri" w:hAnsi="Calibri"/>
                <w:sz w:val="22"/>
              </w:rPr>
              <w:t>$732M</w:t>
            </w:r>
          </w:p>
        </w:tc>
        <w:tc>
          <w:tcPr>
            <w:tcW w:type="dxa" w:w="1440"/>
          </w:tcPr>
          <w:p>
            <w:r>
              <w:rPr>
                <w:rFonts w:ascii="Calibri" w:hAnsi="Calibri"/>
                <w:sz w:val="22"/>
              </w:rPr>
              <w:t>$666M</w:t>
            </w:r>
          </w:p>
        </w:tc>
        <w:tc>
          <w:tcPr>
            <w:tcW w:type="dxa" w:w="1440"/>
          </w:tcPr>
          <w:p>
            <w:r>
              <w:rPr>
                <w:rFonts w:ascii="Calibri" w:hAnsi="Calibri"/>
                <w:sz w:val="22"/>
              </w:rPr>
              <w:t>+9.9%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$8.587B</w:t>
            </w:r>
          </w:p>
        </w:tc>
        <w:tc>
          <w:tcPr>
            <w:tcW w:type="dxa" w:w="1440"/>
          </w:tcPr>
          <w:p>
            <w:r>
              <w:rPr>
                <w:rFonts w:ascii="Calibri" w:hAnsi="Calibri"/>
                <w:sz w:val="22"/>
              </w:rPr>
              <w:t>$8.136B</w:t>
            </w:r>
          </w:p>
        </w:tc>
        <w:tc>
          <w:tcPr>
            <w:tcW w:type="dxa" w:w="1440"/>
          </w:tcPr>
          <w:p>
            <w:r>
              <w:rPr>
                <w:rFonts w:ascii="Calibri" w:hAnsi="Calibri"/>
                <w:sz w:val="22"/>
              </w:rPr>
              <w:t>+5.5%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OIBDA</w:t>
            </w:r>
          </w:p>
        </w:tc>
        <w:tc>
          <w:tcPr>
            <w:tcW w:type="dxa" w:w="1440"/>
          </w:tcPr>
          <w:p>
            <w:r>
              <w:rPr>
                <w:rFonts w:ascii="Calibri" w:hAnsi="Calibri"/>
                <w:sz w:val="22"/>
              </w:rPr>
              <w:t>$406M</w:t>
            </w:r>
          </w:p>
        </w:tc>
        <w:tc>
          <w:tcPr>
            <w:tcW w:type="dxa" w:w="1440"/>
          </w:tcPr>
          <w:p>
            <w:r>
              <w:rPr>
                <w:rFonts w:ascii="Calibri" w:hAnsi="Calibri"/>
                <w:sz w:val="22"/>
              </w:rPr>
              <w:t>$565M</w:t>
            </w:r>
          </w:p>
        </w:tc>
        <w:tc>
          <w:tcPr>
            <w:tcW w:type="dxa" w:w="1440"/>
          </w:tcPr>
          <w:p>
            <w:r>
              <w:rPr>
                <w:rFonts w:ascii="Calibri" w:hAnsi="Calibri"/>
                <w:sz w:val="22"/>
              </w:rPr>
              <w:t>−28.1%</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$6.940B</w:t>
            </w:r>
          </w:p>
        </w:tc>
        <w:tc>
          <w:tcPr>
            <w:tcW w:type="dxa" w:w="1440"/>
          </w:tcPr>
          <w:p>
            <w:r>
              <w:rPr>
                <w:rFonts w:ascii="Calibri" w:hAnsi="Calibri"/>
                <w:sz w:val="22"/>
              </w:rPr>
              <w:t>$6.898B</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OIBDA</w:t>
            </w:r>
          </w:p>
        </w:tc>
        <w:tc>
          <w:tcPr>
            <w:tcW w:type="dxa" w:w="1440"/>
          </w:tcPr>
          <w:p>
            <w:r>
              <w:rPr>
                <w:rFonts w:ascii="Calibri" w:hAnsi="Calibri"/>
                <w:sz w:val="22"/>
              </w:rPr>
              <w:t>$858M</w:t>
            </w:r>
          </w:p>
        </w:tc>
        <w:tc>
          <w:tcPr>
            <w:tcW w:type="dxa" w:w="1440"/>
          </w:tcPr>
          <w:p>
            <w:r>
              <w:rPr>
                <w:rFonts w:ascii="Calibri" w:hAnsi="Calibri"/>
                <w:sz w:val="22"/>
              </w:rPr>
              <w:t>$634M</w:t>
            </w:r>
          </w:p>
        </w:tc>
        <w:tc>
          <w:tcPr>
            <w:tcW w:type="dxa" w:w="1440"/>
          </w:tcPr>
          <w:p>
            <w:r>
              <w:rPr>
                <w:rFonts w:ascii="Calibri" w:hAnsi="Calibri"/>
                <w:sz w:val="22"/>
              </w:rPr>
              <w:t>+35.3%</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PSKY has beaten Adjusted OIBDA consensus in 6 of the last 8 quarters, often by a wide margin, driven by lighter-than-expected content expense timing and efficiency savings; revenue beats are narrower and less consistent, with one notable miss in Q3 2025. The OIBDA beat pattern sets a constructive precedent for Q2 2026, though management has explicitly flagged H2 content cost pressure.</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w:t>
      </w:r>
      <w:r>
        <w:rPr>
          <w:rFonts w:ascii="Calibri" w:hAnsi="Calibri"/>
          <w:b/>
          <w:color w:val="525866"/>
          <w:sz w:val="22"/>
        </w:rPr>
        <w:t>reaffirmed</w:t>
      </w:r>
      <w:r>
        <w:rPr>
          <w:rFonts w:ascii="Calibri" w:hAnsi="Calibri"/>
          <w:color w:val="525866"/>
          <w:sz w:val="22"/>
        </w:rPr>
        <w:t xml:space="preserve"> at the May 13 MoffettNathanson conference with no numerical changes; the only post-Q1 shift is tone around the WBD deal, which moved from “on track for Q3 close” to “paused until at least June 2027” following state litigation — a material change in deal timeline but not in standalone operating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~$30B (~4% YoY growth)</w:t>
            </w:r>
          </w:p>
        </w:tc>
        <w:tc>
          <w:tcPr>
            <w:tcW w:type="dxa" w:w="1728"/>
          </w:tcPr>
          <w:p>
            <w:r>
              <w:rPr>
                <w:rFonts w:ascii="Calibri" w:hAnsi="Calibri"/>
                <w:sz w:val="22"/>
              </w:rPr>
              <w:t>—</w:t>
            </w:r>
          </w:p>
        </w:tc>
        <w:tc>
          <w:tcPr>
            <w:tcW w:type="dxa" w:w="1728"/>
          </w:tcPr>
          <w:p>
            <w:r>
              <w:rPr>
                <w:rFonts w:ascii="Calibri" w:hAnsi="Calibri"/>
                <w:sz w:val="22"/>
              </w:rPr>
              <w:t>$29.85B</w:t>
            </w:r>
          </w:p>
        </w:tc>
        <w:tc>
          <w:tcPr>
            <w:tcW w:type="dxa" w:w="1728"/>
          </w:tcPr>
          <w:p>
            <w:r>
              <w:rPr>
                <w:rFonts w:ascii="Calibri" w:hAnsi="Calibri"/>
                <w:sz w:val="22"/>
              </w:rPr>
              <w:t>Reaffirmed at MoffettNathanson (May 13, 2026); consensus ~0.5% below guide midpoint</w:t>
            </w:r>
          </w:p>
        </w:tc>
      </w:tr>
      <w:tr>
        <w:tc>
          <w:tcPr>
            <w:tcW w:type="dxa" w:w="1728"/>
          </w:tcPr>
          <w:p>
            <w:r>
              <w:rPr>
                <w:rFonts w:ascii="Calibri" w:hAnsi="Calibri"/>
                <w:sz w:val="22"/>
              </w:rPr>
              <w:t>FY 2026 Adjusted OIBDA</w:t>
            </w:r>
          </w:p>
        </w:tc>
        <w:tc>
          <w:tcPr>
            <w:tcW w:type="dxa" w:w="1728"/>
          </w:tcPr>
          <w:p>
            <w:r>
              <w:rPr>
                <w:rFonts w:ascii="Calibri" w:hAnsi="Calibri"/>
                <w:sz w:val="22"/>
              </w:rPr>
              <w:t>~$3.5B (~11.7% margin)</w:t>
            </w:r>
          </w:p>
        </w:tc>
        <w:tc>
          <w:tcPr>
            <w:tcW w:type="dxa" w:w="1728"/>
          </w:tcPr>
          <w:p>
            <w:r>
              <w:rPr>
                <w:rFonts w:ascii="Calibri" w:hAnsi="Calibri"/>
                <w:sz w:val="22"/>
              </w:rPr>
              <w:t>—</w:t>
            </w:r>
          </w:p>
        </w:tc>
        <w:tc>
          <w:tcPr>
            <w:tcW w:type="dxa" w:w="1728"/>
          </w:tcPr>
          <w:p>
            <w:r>
              <w:rPr>
                <w:rFonts w:ascii="Calibri" w:hAnsi="Calibri"/>
                <w:sz w:val="22"/>
              </w:rPr>
              <w:t>$3.538B</w:t>
            </w:r>
          </w:p>
        </w:tc>
        <w:tc>
          <w:tcPr>
            <w:tcW w:type="dxa" w:w="1728"/>
          </w:tcPr>
          <w:p>
            <w:r>
              <w:rPr>
                <w:rFonts w:ascii="Calibri" w:hAnsi="Calibri"/>
                <w:sz w:val="22"/>
              </w:rPr>
              <w:t>Reaffirmed at MoffettNathanson (May 13, 2026); consensus slightly above guide midpoint (+1.1%)</w:t>
            </w:r>
          </w:p>
        </w:tc>
      </w:tr>
      <w:tr>
        <w:tc>
          <w:tcPr>
            <w:tcW w:type="dxa" w:w="1728"/>
          </w:tcPr>
          <w:p>
            <w:r>
              <w:rPr>
                <w:rFonts w:ascii="Calibri" w:hAnsi="Calibri"/>
                <w:sz w:val="22"/>
              </w:rPr>
              <w:t>Q2 2026 Revenue</w:t>
            </w:r>
          </w:p>
        </w:tc>
        <w:tc>
          <w:tcPr>
            <w:tcW w:type="dxa" w:w="1728"/>
          </w:tcPr>
          <w:p>
            <w:r>
              <w:rPr>
                <w:rFonts w:ascii="Calibri" w:hAnsi="Calibri"/>
                <w:sz w:val="22"/>
              </w:rPr>
              <w:t>Roughly flat YoY (qualitative)</w:t>
            </w:r>
          </w:p>
        </w:tc>
        <w:tc>
          <w:tcPr>
            <w:tcW w:type="dxa" w:w="1728"/>
          </w:tcPr>
          <w:p>
            <w:r>
              <w:rPr>
                <w:rFonts w:ascii="Calibri" w:hAnsi="Calibri"/>
                <w:sz w:val="22"/>
              </w:rPr>
              <w:t>—</w:t>
            </w:r>
          </w:p>
        </w:tc>
        <w:tc>
          <w:tcPr>
            <w:tcW w:type="dxa" w:w="1728"/>
          </w:tcPr>
          <w:p>
            <w:r>
              <w:rPr>
                <w:rFonts w:ascii="Calibri" w:hAnsi="Calibri"/>
                <w:sz w:val="22"/>
              </w:rPr>
              <w:t>$6.865B (+0.2% YoY)</w:t>
            </w:r>
          </w:p>
        </w:tc>
        <w:tc>
          <w:tcPr>
            <w:tcW w:type="dxa" w:w="1728"/>
          </w:tcPr>
          <w:p>
            <w:r>
              <w:rPr>
                <w:rFonts w:ascii="Calibri" w:hAnsi="Calibri"/>
                <w:sz w:val="22"/>
              </w:rPr>
              <w:t>Consensus consistent with qualitative guide; no numerical Q2 range provided</w:t>
            </w:r>
          </w:p>
        </w:tc>
      </w:tr>
      <w:tr>
        <w:tc>
          <w:tcPr>
            <w:tcW w:type="dxa" w:w="1728"/>
          </w:tcPr>
          <w:p>
            <w:r>
              <w:rPr>
                <w:rFonts w:ascii="Calibri" w:hAnsi="Calibri"/>
                <w:sz w:val="22"/>
              </w:rPr>
              <w:t>DTC Margin (H2 2026)</w:t>
            </w:r>
          </w:p>
        </w:tc>
        <w:tc>
          <w:tcPr>
            <w:tcW w:type="dxa" w:w="1728"/>
          </w:tcPr>
          <w:p>
            <w:r>
              <w:rPr>
                <w:rFonts w:ascii="Calibri" w:hAnsi="Calibri"/>
                <w:sz w:val="22"/>
              </w:rPr>
              <w:t>Margin pressure expected in Q3 &amp; Q4 as content slate launches</w:t>
            </w:r>
          </w:p>
        </w:tc>
        <w:tc>
          <w:tcPr>
            <w:tcW w:type="dxa" w:w="1728"/>
          </w:tcPr>
          <w:p>
            <w:r>
              <w:rPr>
                <w:rFonts w:ascii="Calibri" w:hAnsi="Calibri"/>
                <w:sz w:val="22"/>
              </w:rPr>
              <w:t>—</w:t>
            </w:r>
          </w:p>
        </w:tc>
        <w:tc>
          <w:tcPr>
            <w:tcW w:type="dxa" w:w="1728"/>
          </w:tcPr>
          <w:p>
            <w:r>
              <w:rPr>
                <w:rFonts w:ascii="Calibri" w:hAnsi="Calibri"/>
                <w:sz w:val="22"/>
              </w:rPr>
              <w:t>Q3 DTC OIBDA cons. ~$420M; Q4 ~(−20M)</w:t>
            </w:r>
          </w:p>
        </w:tc>
        <w:tc>
          <w:tcPr>
            <w:tcW w:type="dxa" w:w="1728"/>
          </w:tcPr>
          <w:p>
            <w:r>
              <w:rPr>
                <w:rFonts w:ascii="Calibri" w:hAnsi="Calibri"/>
                <w:sz w:val="22"/>
              </w:rPr>
              <w:t>Consensus reflects mgmt’s flagged H2 pressure; Q4 DTC OIBDA expected to turn negative</w:t>
            </w:r>
          </w:p>
        </w:tc>
      </w:tr>
      <w:tr>
        <w:tc>
          <w:tcPr>
            <w:tcW w:type="dxa" w:w="1728"/>
          </w:tcPr>
          <w:p>
            <w:r>
              <w:rPr>
                <w:rFonts w:ascii="Calibri" w:hAnsi="Calibri"/>
                <w:sz w:val="22"/>
              </w:rPr>
              <w:t>Run-Rate Efficiency Savings</w:t>
            </w:r>
          </w:p>
        </w:tc>
        <w:tc>
          <w:tcPr>
            <w:tcW w:type="dxa" w:w="1728"/>
          </w:tcPr>
          <w:p>
            <w:r>
              <w:rPr>
                <w:rFonts w:ascii="Calibri" w:hAnsi="Calibri"/>
                <w:sz w:val="22"/>
              </w:rPr>
              <w:t>$2.5B by end of 2026; &gt;$3B total (standalone PSKY merger)</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Raised from $2B at deal announcement; reaffirmed at MoffettNathanson (May 13, 2026)</w:t>
            </w:r>
          </w:p>
        </w:tc>
      </w:tr>
      <w:tr>
        <w:tc>
          <w:tcPr>
            <w:tcW w:type="dxa" w:w="1728"/>
          </w:tcPr>
          <w:p>
            <w:r>
              <w:rPr>
                <w:rFonts w:ascii="Calibri" w:hAnsi="Calibri"/>
                <w:sz w:val="22"/>
              </w:rPr>
              <w:t>WBD Deal Close Timeline</w:t>
            </w:r>
          </w:p>
        </w:tc>
        <w:tc>
          <w:tcPr>
            <w:tcW w:type="dxa" w:w="1728"/>
          </w:tcPr>
          <w:p>
            <w:r>
              <w:rPr>
                <w:rFonts w:ascii="Calibri" w:hAnsi="Calibri"/>
                <w:sz w:val="22"/>
              </w:rPr>
              <w:t>Q3 2026 (by September 2026)</w:t>
            </w:r>
          </w:p>
        </w:tc>
        <w:tc>
          <w:tcPr>
            <w:tcW w:type="dxa" w:w="1728"/>
          </w:tcPr>
          <w:p>
            <w:r>
              <w:rPr>
                <w:rFonts w:ascii="Calibri" w:hAnsi="Calibri"/>
                <w:sz w:val="22"/>
              </w:rPr>
              <w:t>Paused until at least June 2027 (announced July 24, 2026)</w:t>
            </w:r>
          </w:p>
        </w:tc>
        <w:tc>
          <w:tcPr>
            <w:tcW w:type="dxa" w:w="1728"/>
          </w:tcPr>
          <w:p>
            <w:r>
              <w:rPr>
                <w:rFonts w:ascii="Calibri" w:hAnsi="Calibri"/>
                <w:sz w:val="22"/>
              </w:rPr>
              <w:t>N/A — deal-dependent</w:t>
            </w:r>
          </w:p>
        </w:tc>
        <w:tc>
          <w:tcPr>
            <w:tcW w:type="dxa" w:w="1728"/>
          </w:tcPr>
          <w:p>
            <w:r>
              <w:rPr>
                <w:rFonts w:ascii="Calibri" w:hAnsi="Calibri"/>
                <w:sz w:val="22"/>
              </w:rPr>
              <w:t>↓ Delayed: Federal judge halted merger July 20; companies announced pause July 24 pending state litigation; CA Governor Newsom encouraging AG to settle (Aug. 2–3, 2026)</w:t>
            </w:r>
          </w:p>
        </w:tc>
      </w:tr>
    </w:tbl>
    <w:p>
      <w:r>
        <w:rPr>
          <w:rFonts w:ascii="Calibri" w:hAnsi="Calibri"/>
          <w:i/>
          <w:color w:val="525866"/>
          <w:sz w:val="22"/>
        </w:rPr>
        <w:t>Sources: PSKY Q1 2026 Earnings Call transcript (May 4, 2026); MoffettNathanson Media, Internet &amp; Communications Conference transcript (May 13, 2026); PSKY 8-K filings (July 20–24, 2026); news reports (July 24 – August 3, 2026). Visible Alpha Consensus and Actuals Data for current consensus figures.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lower</w:t>
      </w:r>
      <w:r>
        <w:rPr>
          <w:rFonts w:ascii="Calibri" w:hAnsi="Calibri"/>
          <w:color w:val="525866"/>
          <w:sz w:val="22"/>
        </w:rPr>
        <w:t xml:space="preserve"> since Q1 earnings for both Q2 and FY 2026, but the magnitude is small and consensus remains roughly in line with or slightly above management’s full-year guidance — suggesting the market is not pricing in a fundamental deterioration of the standalone business, only deal-related uncertainty.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11,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(Q2 2026)</w:t>
            </w:r>
          </w:p>
        </w:tc>
        <w:tc>
          <w:tcPr>
            <w:tcW w:type="dxa" w:w="1080"/>
          </w:tcPr>
          <w:p>
            <w:r>
              <w:rPr>
                <w:rFonts w:ascii="Calibri" w:hAnsi="Calibri"/>
                <w:sz w:val="22"/>
              </w:rPr>
              <w:t>$6.862B</w:t>
            </w:r>
          </w:p>
        </w:tc>
        <w:tc>
          <w:tcPr>
            <w:tcW w:type="dxa" w:w="1080"/>
          </w:tcPr>
          <w:p>
            <w:r>
              <w:rPr>
                <w:rFonts w:ascii="Calibri" w:hAnsi="Calibri"/>
                <w:sz w:val="22"/>
              </w:rPr>
              <w:t>$6.865B</w:t>
            </w:r>
          </w:p>
        </w:tc>
        <w:tc>
          <w:tcPr>
            <w:tcW w:type="dxa" w:w="1080"/>
          </w:tcPr>
          <w:p>
            <w:r>
              <w:rPr>
                <w:rFonts w:ascii="Calibri" w:hAnsi="Calibri"/>
                <w:sz w:val="22"/>
              </w:rPr>
              <w:t>+0.0%</w:t>
            </w:r>
          </w:p>
        </w:tc>
        <w:tc>
          <w:tcPr>
            <w:tcW w:type="dxa" w:w="1080"/>
          </w:tcPr>
          <w:p>
            <w:r>
              <w:rPr>
                <w:rFonts w:ascii="Calibri" w:hAnsi="Calibri"/>
                <w:sz w:val="22"/>
              </w:rPr>
              <w:t>~Flat YoY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(FY 2026)</w:t>
            </w:r>
          </w:p>
        </w:tc>
        <w:tc>
          <w:tcPr>
            <w:tcW w:type="dxa" w:w="1080"/>
          </w:tcPr>
          <w:p>
            <w:r>
              <w:rPr>
                <w:rFonts w:ascii="Calibri" w:hAnsi="Calibri"/>
                <w:sz w:val="22"/>
              </w:rPr>
              <w:t>$29.862B</w:t>
            </w:r>
          </w:p>
        </w:tc>
        <w:tc>
          <w:tcPr>
            <w:tcW w:type="dxa" w:w="1080"/>
          </w:tcPr>
          <w:p>
            <w:r>
              <w:rPr>
                <w:rFonts w:ascii="Calibri" w:hAnsi="Calibri"/>
                <w:sz w:val="22"/>
              </w:rPr>
              <w:t>$29.849B</w:t>
            </w:r>
          </w:p>
        </w:tc>
        <w:tc>
          <w:tcPr>
            <w:tcW w:type="dxa" w:w="1080"/>
          </w:tcPr>
          <w:p>
            <w:r>
              <w:rPr>
                <w:rFonts w:ascii="Calibri" w:hAnsi="Calibri"/>
                <w:sz w:val="22"/>
              </w:rPr>
              <w:t>−0.0%</w:t>
            </w:r>
          </w:p>
        </w:tc>
        <w:tc>
          <w:tcPr>
            <w:tcW w:type="dxa" w:w="1080"/>
          </w:tcPr>
          <w:p>
            <w:r>
              <w:rPr>
                <w:rFonts w:ascii="Calibri" w:hAnsi="Calibri"/>
                <w:sz w:val="22"/>
              </w:rPr>
              <w:t>~$30B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below guide</w:t>
            </w:r>
          </w:p>
        </w:tc>
      </w:tr>
      <w:tr>
        <w:tc>
          <w:tcPr>
            <w:tcW w:type="dxa" w:w="1080"/>
          </w:tcPr>
          <w:p>
            <w:r>
              <w:rPr>
                <w:rFonts w:ascii="Calibri" w:hAnsi="Calibri"/>
                <w:sz w:val="22"/>
              </w:rPr>
              <w:t>Adj. OIBDA (Q2 2026)</w:t>
            </w:r>
          </w:p>
        </w:tc>
        <w:tc>
          <w:tcPr>
            <w:tcW w:type="dxa" w:w="1080"/>
          </w:tcPr>
          <w:p>
            <w:r>
              <w:rPr>
                <w:rFonts w:ascii="Calibri" w:hAnsi="Calibri"/>
                <w:sz w:val="22"/>
              </w:rPr>
              <w:t>$883M</w:t>
            </w:r>
          </w:p>
        </w:tc>
        <w:tc>
          <w:tcPr>
            <w:tcW w:type="dxa" w:w="1080"/>
          </w:tcPr>
          <w:p>
            <w:r>
              <w:rPr>
                <w:rFonts w:ascii="Calibri" w:hAnsi="Calibri"/>
                <w:sz w:val="22"/>
              </w:rPr>
              <w:t>$876M</w:t>
            </w:r>
          </w:p>
        </w:tc>
        <w:tc>
          <w:tcPr>
            <w:tcW w:type="dxa" w:w="1080"/>
          </w:tcPr>
          <w:p>
            <w:r>
              <w:rPr>
                <w:rFonts w:ascii="Calibri" w:hAnsi="Calibri"/>
                <w:sz w:val="22"/>
              </w:rPr>
              <w:t>−0.8%</w:t>
            </w:r>
          </w:p>
        </w:tc>
        <w:tc>
          <w:tcPr>
            <w:tcW w:type="dxa" w:w="1080"/>
          </w:tcPr>
          <w:p>
            <w:r>
              <w:rPr>
                <w:rFonts w:ascii="Calibri" w:hAnsi="Calibri"/>
                <w:sz w:val="22"/>
              </w:rPr>
              <w:t>N/A (no Q2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OIBDA (FY 2026)</w:t>
            </w:r>
          </w:p>
        </w:tc>
        <w:tc>
          <w:tcPr>
            <w:tcW w:type="dxa" w:w="1080"/>
          </w:tcPr>
          <w:p>
            <w:r>
              <w:rPr>
                <w:rFonts w:ascii="Calibri" w:hAnsi="Calibri"/>
                <w:sz w:val="22"/>
              </w:rPr>
              <w:t>$3.557B</w:t>
            </w:r>
          </w:p>
        </w:tc>
        <w:tc>
          <w:tcPr>
            <w:tcW w:type="dxa" w:w="1080"/>
          </w:tcPr>
          <w:p>
            <w:r>
              <w:rPr>
                <w:rFonts w:ascii="Calibri" w:hAnsi="Calibri"/>
                <w:sz w:val="22"/>
              </w:rPr>
              <w:t>$3.538B</w:t>
            </w:r>
          </w:p>
        </w:tc>
        <w:tc>
          <w:tcPr>
            <w:tcW w:type="dxa" w:w="1080"/>
          </w:tcPr>
          <w:p>
            <w:r>
              <w:rPr>
                <w:rFonts w:ascii="Calibri" w:hAnsi="Calibri"/>
                <w:sz w:val="22"/>
              </w:rPr>
              <w:t>−0.5%</w:t>
            </w:r>
          </w:p>
        </w:tc>
        <w:tc>
          <w:tcPr>
            <w:tcW w:type="dxa" w:w="1080"/>
          </w:tcPr>
          <w:p>
            <w:r>
              <w:rPr>
                <w:rFonts w:ascii="Calibri" w:hAnsi="Calibri"/>
                <w:sz w:val="22"/>
              </w:rPr>
              <w:t>~$3.5B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guide</w:t>
            </w:r>
          </w:p>
        </w:tc>
      </w:tr>
      <w:tr>
        <w:tc>
          <w:tcPr>
            <w:tcW w:type="dxa" w:w="1080"/>
          </w:tcPr>
          <w:p>
            <w:r>
              <w:rPr>
                <w:rFonts w:ascii="Calibri" w:hAnsi="Calibri"/>
                <w:sz w:val="22"/>
              </w:rPr>
              <w:t>DTC Adj. OIBDA (Q2 2026)</w:t>
            </w:r>
          </w:p>
        </w:tc>
        <w:tc>
          <w:tcPr>
            <w:tcW w:type="dxa" w:w="1080"/>
          </w:tcPr>
          <w:p>
            <w:r>
              <w:rPr>
                <w:rFonts w:ascii="Calibri" w:hAnsi="Calibri"/>
                <w:sz w:val="22"/>
              </w:rPr>
              <w:t>$281M</w:t>
            </w:r>
          </w:p>
        </w:tc>
        <w:tc>
          <w:tcPr>
            <w:tcW w:type="dxa" w:w="1080"/>
          </w:tcPr>
          <w:p>
            <w:r>
              <w:rPr>
                <w:rFonts w:ascii="Calibri" w:hAnsi="Calibri"/>
                <w:sz w:val="22"/>
              </w:rPr>
              <w:t>$289M</w:t>
            </w:r>
          </w:p>
        </w:tc>
        <w:tc>
          <w:tcPr>
            <w:tcW w:type="dxa" w:w="1080"/>
          </w:tcPr>
          <w:p>
            <w:r>
              <w:rPr>
                <w:rFonts w:ascii="Calibri" w:hAnsi="Calibri"/>
                <w:sz w:val="22"/>
              </w:rPr>
              <w:t>+2.8%</w:t>
            </w:r>
          </w:p>
        </w:tc>
        <w:tc>
          <w:tcPr>
            <w:tcW w:type="dxa" w:w="1080"/>
          </w:tcPr>
          <w:p>
            <w:r>
              <w:rPr>
                <w:rFonts w:ascii="Calibri" w:hAnsi="Calibri"/>
                <w:sz w:val="22"/>
              </w:rPr>
              <w:t>N/A (no Q2 DTC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DTC Adj. OIBDA (FY 2026)</w:t>
            </w:r>
          </w:p>
        </w:tc>
        <w:tc>
          <w:tcPr>
            <w:tcW w:type="dxa" w:w="1080"/>
          </w:tcPr>
          <w:p>
            <w:r>
              <w:rPr>
                <w:rFonts w:ascii="Calibri" w:hAnsi="Calibri"/>
                <w:sz w:val="22"/>
              </w:rPr>
              <w:t>$904M</w:t>
            </w:r>
          </w:p>
        </w:tc>
        <w:tc>
          <w:tcPr>
            <w:tcW w:type="dxa" w:w="1080"/>
          </w:tcPr>
          <w:p>
            <w:r>
              <w:rPr>
                <w:rFonts w:ascii="Calibri" w:hAnsi="Calibri"/>
                <w:sz w:val="22"/>
              </w:rPr>
              <w:t>$940M</w:t>
            </w:r>
          </w:p>
        </w:tc>
        <w:tc>
          <w:tcPr>
            <w:tcW w:type="dxa" w:w="1080"/>
          </w:tcPr>
          <w:p>
            <w:r>
              <w:rPr>
                <w:rFonts w:ascii="Calibri" w:hAnsi="Calibri"/>
                <w:sz w:val="22"/>
              </w:rPr>
              <w:t>+4.0%</w:t>
            </w:r>
          </w:p>
        </w:tc>
        <w:tc>
          <w:tcPr>
            <w:tcW w:type="dxa" w:w="1080"/>
          </w:tcPr>
          <w:p>
            <w:r>
              <w:rPr>
                <w:rFonts w:ascii="Calibri" w:hAnsi="Calibri"/>
                <w:sz w:val="22"/>
              </w:rPr>
              <w:t>N/A (no explicit FY DTC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P+ Ending Subs (Q2 2026, M)</w:t>
            </w:r>
          </w:p>
        </w:tc>
        <w:tc>
          <w:tcPr>
            <w:tcW w:type="dxa" w:w="1080"/>
          </w:tcPr>
          <w:p>
            <w:r>
              <w:rPr>
                <w:rFonts w:ascii="Calibri" w:hAnsi="Calibri"/>
                <w:sz w:val="22"/>
              </w:rPr>
              <w:t>79.5M</w:t>
            </w:r>
          </w:p>
        </w:tc>
        <w:tc>
          <w:tcPr>
            <w:tcW w:type="dxa" w:w="1080"/>
          </w:tcPr>
          <w:p>
            <w:r>
              <w:rPr>
                <w:rFonts w:ascii="Calibri" w:hAnsi="Calibri"/>
                <w:sz w:val="22"/>
              </w:rPr>
              <w:t>79.6M</w:t>
            </w:r>
          </w:p>
        </w:tc>
        <w:tc>
          <w:tcPr>
            <w:tcW w:type="dxa" w:w="1080"/>
          </w:tcPr>
          <w:p>
            <w:r>
              <w:rPr>
                <w:rFonts w:ascii="Calibri" w:hAnsi="Calibri"/>
                <w:sz w:val="22"/>
              </w:rPr>
              <w:t>+0.1%</w:t>
            </w:r>
          </w:p>
        </w:tc>
        <w:tc>
          <w:tcPr>
            <w:tcW w:type="dxa" w:w="1080"/>
          </w:tcPr>
          <w:p>
            <w:r>
              <w:rPr>
                <w:rFonts w:ascii="Calibri" w:hAnsi="Calibri"/>
                <w:sz w:val="22"/>
              </w:rPr>
              <w:t>Healthy underlying growth; shedding low-ARPU bundles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P+ ARPU (Q2 2026, $)</w:t>
            </w:r>
          </w:p>
        </w:tc>
        <w:tc>
          <w:tcPr>
            <w:tcW w:type="dxa" w:w="1080"/>
          </w:tcPr>
          <w:p>
            <w:r>
              <w:rPr>
                <w:rFonts w:ascii="Calibri" w:hAnsi="Calibri"/>
                <w:sz w:val="22"/>
              </w:rPr>
              <w:t>$8.57</w:t>
            </w:r>
          </w:p>
        </w:tc>
        <w:tc>
          <w:tcPr>
            <w:tcW w:type="dxa" w:w="1080"/>
          </w:tcPr>
          <w:p>
            <w:r>
              <w:rPr>
                <w:rFonts w:ascii="Calibri" w:hAnsi="Calibri"/>
                <w:sz w:val="22"/>
              </w:rPr>
              <w:t>$8.63</w:t>
            </w:r>
          </w:p>
        </w:tc>
        <w:tc>
          <w:tcPr>
            <w:tcW w:type="dxa" w:w="1080"/>
          </w:tcPr>
          <w:p>
            <w:r>
              <w:rPr>
                <w:rFonts w:ascii="Calibri" w:hAnsi="Calibri"/>
                <w:sz w:val="22"/>
              </w:rPr>
              <w:t>+0.7%</w:t>
            </w:r>
          </w:p>
        </w:tc>
        <w:tc>
          <w:tcPr>
            <w:tcW w:type="dxa" w:w="1080"/>
          </w:tcPr>
          <w:p>
            <w:r>
              <w:rPr>
                <w:rFonts w:ascii="Calibri" w:hAnsi="Calibri"/>
                <w:sz w:val="22"/>
              </w:rPr>
              <w:t>Continued expansion from Jan. price hike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Q1 earnings, with revisions of less than 1% in either direction across all key metrics — a sign that the sell-side is not fundamentally re-rating the standalone business despite the WBD deal delay. The slight upward drift in DTC OIBDA consensus (+2.8% for Q2, +4.0% for FY) suggests growing confidence in the streaming profitability trajectory.</w:t>
      </w:r>
    </w:p>
    <w:p>
      <w:r>
        <w:rPr>
          <w:rFonts w:ascii="Calibri" w:hAnsi="Calibri"/>
          <w:i/>
          <w:color w:val="525866"/>
          <w:sz w:val="22"/>
        </w:rPr>
        <w:t>Source: Visible Alpha Consensus and Actuals Data (as-of date May 11, 2026 for post-Q1 baseline; current consensus as of August 3,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PSKY has fallen ~28% since Q1 earnings (May 4, 2026) vs. XLC −4% and SPY +5%, with the underperformance driven almost entirely by </w:t>
      </w:r>
      <w:r>
        <w:rPr>
          <w:rFonts w:ascii="Calibri" w:hAnsi="Calibri"/>
          <w:b/>
          <w:color w:val="525866"/>
          <w:sz w:val="22"/>
        </w:rPr>
        <w:t>multiple compression</w:t>
      </w:r>
      <w:r>
        <w:rPr>
          <w:rFonts w:ascii="Calibri" w:hAnsi="Calibri"/>
          <w:color w:val="525866"/>
          <w:sz w:val="22"/>
        </w:rPr>
        <w:t xml:space="preserve"> tied to WBD deal uncertainty — EV/EBITDA contracted from ~7.5x to ~6.8x over the period — rather than any deterioration in standalone fundamentals.</w:t>
      </w:r>
    </w:p>
    <w:p>
      <w:r>
        <w:rPr>
          <w:rFonts w:ascii="Calibri" w:hAnsi="Calibri"/>
          <w:color w:val="525866"/>
          <w:sz w:val="22"/>
        </w:rPr>
        <w:t>Since the Q1 2026 earnings date (May 4, 2026), PSKY has declined from $11.13 to $7.96 as of July 31, 2026 (a loss of ~−28.5%), dramatically underperforming both the Communication Services ETF (XLC: −6.8% over the same period) and the S&amp;P 500 (SPY: +4.0%). The stock’s decline accelerated in three distinct legs: (1) a gradual drift lower through May–June as deal uncertainty mounted; (2) a sharp leg down in mid-July when a federal judge temporarily halted the merger on July 20 (stock fell from ~$9.55 to $8.57 in a single week); and (3) a further leg down to ~$7.81 by July 30 after the companies announced the deal pause until at least June 2027 on July 24. The stock performance decomposition confirms that multiple compression (EV/EBITDA −9.7% over 1 month, −1.2% over 3 months) is the primary driver, not estimate revisions, which have been nearly flat. The stock closed at $8.22 on August 4, 2026 (earnings day), suggesting some stabilization or early relief.</w:t>
      </w:r>
    </w:p>
    <w:p>
      <w:r>
        <w:rPr>
          <w:rFonts w:ascii="Calibri" w:hAnsi="Calibri"/>
          <w:b/>
          <w:color w:val="525866"/>
          <w:sz w:val="22"/>
        </w:rPr>
        <w:t>Key Events Since Q1 Earnings (May 4, 2026):</w:t>
      </w:r>
    </w:p>
    <w:p>
      <w:pPr>
        <w:pStyle w:val="ListBullet"/>
        <w:ind w:left="360" w:hanging="360"/>
      </w:pPr>
      <w:r>
        <w:rPr>
          <w:rFonts w:ascii="Calibri" w:hAnsi="Calibri"/>
          <w:b/>
          <w:color w:val="525866"/>
          <w:sz w:val="22"/>
        </w:rPr>
        <w:t>May 4, 2026:</w:t>
      </w:r>
      <w:r>
        <w:rPr>
          <w:rFonts w:ascii="Calibri" w:hAnsi="Calibri"/>
          <w:color w:val="525866"/>
          <w:sz w:val="22"/>
        </w:rPr>
        <w:t xml:space="preserve"> Q1 2026 earnings beat; stock opens at $11.13</w:t>
      </w:r>
    </w:p>
    <w:p>
      <w:pPr>
        <w:pStyle w:val="ListBullet"/>
        <w:ind w:left="360" w:hanging="360"/>
      </w:pPr>
      <w:r>
        <w:rPr>
          <w:rFonts w:ascii="Calibri" w:hAnsi="Calibri"/>
          <w:b/>
          <w:color w:val="525866"/>
          <w:sz w:val="22"/>
        </w:rPr>
        <w:t>May 13, 2026:</w:t>
      </w:r>
      <w:r>
        <w:rPr>
          <w:rFonts w:ascii="Calibri" w:hAnsi="Calibri"/>
          <w:color w:val="525866"/>
          <w:sz w:val="22"/>
        </w:rPr>
        <w:t xml:space="preserve"> CFO Cinelli at MoffettNathanson conference reaffirms FY guidance; tone constructive</w:t>
      </w:r>
    </w:p>
    <w:p>
      <w:pPr>
        <w:pStyle w:val="ListBullet"/>
        <w:ind w:left="360" w:hanging="360"/>
      </w:pPr>
      <w:r>
        <w:rPr>
          <w:rFonts w:ascii="Calibri" w:hAnsi="Calibri"/>
          <w:b/>
          <w:color w:val="525866"/>
          <w:sz w:val="22"/>
        </w:rPr>
        <w:t>June 17–30, 2026:</w:t>
      </w:r>
      <w:r>
        <w:rPr>
          <w:rFonts w:ascii="Calibri" w:hAnsi="Calibri"/>
          <w:color w:val="525866"/>
          <w:sz w:val="22"/>
        </w:rPr>
        <w:t xml:space="preserve"> Multiple international regulatory approvals secured (EU, South Korea, others); stock fails to rally as state litigation risk rises</w:t>
      </w:r>
    </w:p>
    <w:p>
      <w:pPr>
        <w:pStyle w:val="ListBullet"/>
        <w:ind w:left="360" w:hanging="360"/>
      </w:pPr>
      <w:r>
        <w:rPr>
          <w:rFonts w:ascii="Calibri" w:hAnsi="Calibri"/>
          <w:b/>
          <w:color w:val="525866"/>
          <w:sz w:val="22"/>
        </w:rPr>
        <w:t>July 20, 2026:</w:t>
      </w:r>
      <w:r>
        <w:rPr>
          <w:rFonts w:ascii="Calibri" w:hAnsi="Calibri"/>
          <w:color w:val="525866"/>
          <w:sz w:val="22"/>
        </w:rPr>
        <w:t xml:space="preserve"> Federal judge temporarily halts merger; stock drops sharply (~−8% in the week)</w:t>
      </w:r>
    </w:p>
    <w:p>
      <w:pPr>
        <w:pStyle w:val="ListBullet"/>
        <w:ind w:left="360" w:hanging="360"/>
      </w:pPr>
      <w:r>
        <w:rPr>
          <w:rFonts w:ascii="Calibri" w:hAnsi="Calibri"/>
          <w:b/>
          <w:color w:val="525866"/>
          <w:sz w:val="22"/>
        </w:rPr>
        <w:t>July 22, 2026:</w:t>
      </w:r>
      <w:r>
        <w:rPr>
          <w:rFonts w:ascii="Calibri" w:hAnsi="Calibri"/>
          <w:color w:val="525866"/>
          <w:sz w:val="22"/>
        </w:rPr>
        <w:t xml:space="preserve"> EU formally approves merger; partial offset to litigation news</w:t>
      </w:r>
    </w:p>
    <w:p>
      <w:pPr>
        <w:pStyle w:val="ListBullet"/>
        <w:ind w:left="360" w:hanging="360"/>
      </w:pPr>
      <w:r>
        <w:rPr>
          <w:rFonts w:ascii="Calibri" w:hAnsi="Calibri"/>
          <w:b/>
          <w:color w:val="525866"/>
          <w:sz w:val="22"/>
        </w:rPr>
        <w:t>July 23, 2026:</w:t>
      </w:r>
      <w:r>
        <w:rPr>
          <w:rFonts w:ascii="Calibri" w:hAnsi="Calibri"/>
          <w:color w:val="525866"/>
          <w:sz w:val="22"/>
        </w:rPr>
        <w:t xml:space="preserve"> Annual shareholder meeting; new board elected</w:t>
      </w:r>
    </w:p>
    <w:p>
      <w:pPr>
        <w:pStyle w:val="ListBullet"/>
        <w:ind w:left="360" w:hanging="360"/>
      </w:pPr>
      <w:r>
        <w:rPr>
          <w:rFonts w:ascii="Calibri" w:hAnsi="Calibri"/>
          <w:b/>
          <w:color w:val="525866"/>
          <w:sz w:val="22"/>
        </w:rPr>
        <w:t>July 24, 2026:</w:t>
      </w:r>
      <w:r>
        <w:rPr>
          <w:rFonts w:ascii="Calibri" w:hAnsi="Calibri"/>
          <w:color w:val="525866"/>
          <w:sz w:val="22"/>
        </w:rPr>
        <w:t xml:space="preserve"> PSKY announces merger pause until at least June 2027; stock hits cycle lows (~$8.21)</w:t>
      </w:r>
    </w:p>
    <w:p>
      <w:pPr>
        <w:pStyle w:val="ListBullet"/>
        <w:ind w:left="360" w:hanging="360"/>
      </w:pPr>
      <w:r>
        <w:rPr>
          <w:rFonts w:ascii="Calibri" w:hAnsi="Calibri"/>
          <w:b/>
          <w:color w:val="525866"/>
          <w:sz w:val="22"/>
        </w:rPr>
        <w:t>July 28–29, 2026:</w:t>
      </w:r>
      <w:r>
        <w:rPr>
          <w:rFonts w:ascii="Calibri" w:hAnsi="Calibri"/>
          <w:color w:val="525866"/>
          <w:sz w:val="22"/>
        </w:rPr>
        <w:t xml:space="preserve"> Reports that Wall Street pricing 50/50 deal odds; some WBD executives reportedly hoping deal collapses</w:t>
      </w:r>
    </w:p>
    <w:p>
      <w:pPr>
        <w:pStyle w:val="ListBullet"/>
        <w:ind w:left="360" w:hanging="360"/>
      </w:pPr>
      <w:r>
        <w:rPr>
          <w:rFonts w:ascii="Calibri" w:hAnsi="Calibri"/>
          <w:b/>
          <w:color w:val="525866"/>
          <w:sz w:val="22"/>
        </w:rPr>
        <w:t>Aug. 2–3, 2026:</w:t>
      </w:r>
      <w:r>
        <w:rPr>
          <w:rFonts w:ascii="Calibri" w:hAnsi="Calibri"/>
          <w:color w:val="525866"/>
          <w:sz w:val="22"/>
        </w:rPr>
        <w:t xml:space="preserve"> CA Governor Newsom encourages AG Bonta to settle state lawsuit; modest positive signal ahead of earnings</w:t>
      </w:r>
    </w:p>
    <w:p>
      <w:r>
        <w:rPr>
          <w:rFonts w:ascii="Calibri" w:hAnsi="Calibri"/>
          <w:i/>
          <w:color w:val="525866"/>
          <w:sz w:val="22"/>
        </w:rPr>
        <w:t>Source: Stock Price Data (Yahoo Finance). Stock performance decomposition data from Implied platform.</w:t>
      </w:r>
    </w:p>
    <w:p>
      <w:pPr>
        <w:pStyle w:val="Heading2"/>
      </w:pPr>
      <w:r>
        <w:rPr>
          <w:rFonts w:ascii="Calibri" w:hAnsi="Calibri"/>
          <w:b/>
          <w:color w:val="3B4259"/>
          <w:sz w:val="28"/>
        </w:rPr>
        <w:t>Stock Performance Chart — PSKY vs. XLC vs. SPY Since Q1 Earnings (May 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PSKY (Indexed)</w:t>
            </w:r>
          </w:p>
        </w:tc>
        <w:tc>
          <w:tcPr>
            <w:tcW w:type="dxa" w:w="2160"/>
            <w:shd w:val="clear" w:color="auto" w:fill="3B4259"/>
          </w:tcPr>
          <w:p>
            <w:r>
              <w:rPr>
                <w:rFonts w:ascii="Calibri" w:hAnsi="Calibri"/>
                <w:b/>
                <w:color w:val="FFFFFF"/>
                <w:sz w:val="22"/>
              </w:rPr>
              <w:t>XLC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4,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95.3</w:t>
            </w:r>
          </w:p>
        </w:tc>
        <w:tc>
          <w:tcPr>
            <w:tcW w:type="dxa" w:w="2160"/>
          </w:tcPr>
          <w:p>
            <w:r>
              <w:rPr>
                <w:rFonts w:ascii="Calibri" w:hAnsi="Calibri"/>
                <w:sz w:val="22"/>
              </w:rPr>
              <w:t>99.6</w:t>
            </w:r>
          </w:p>
        </w:tc>
        <w:tc>
          <w:tcPr>
            <w:tcW w:type="dxa" w:w="2160"/>
          </w:tcPr>
          <w:p>
            <w:r>
              <w:rPr>
                <w:rFonts w:ascii="Calibri" w:hAnsi="Calibri"/>
                <w:sz w:val="22"/>
              </w:rPr>
              <w:t>105.2</w:t>
            </w:r>
          </w:p>
        </w:tc>
      </w:tr>
      <w:tr>
        <w:tc>
          <w:tcPr>
            <w:tcW w:type="dxa" w:w="2160"/>
          </w:tcPr>
          <w:p>
            <w:r>
              <w:rPr>
                <w:rFonts w:ascii="Calibri" w:hAnsi="Calibri"/>
                <w:sz w:val="22"/>
              </w:rPr>
              <w:t>Jun 30, 2026</w:t>
            </w:r>
          </w:p>
        </w:tc>
        <w:tc>
          <w:tcPr>
            <w:tcW w:type="dxa" w:w="2160"/>
          </w:tcPr>
          <w:p>
            <w:r>
              <w:rPr>
                <w:rFonts w:ascii="Calibri" w:hAnsi="Calibri"/>
                <w:sz w:val="22"/>
              </w:rPr>
              <w:t>88.6</w:t>
            </w:r>
          </w:p>
        </w:tc>
        <w:tc>
          <w:tcPr>
            <w:tcW w:type="dxa" w:w="2160"/>
          </w:tcPr>
          <w:p>
            <w:r>
              <w:rPr>
                <w:rFonts w:ascii="Calibri" w:hAnsi="Calibri"/>
                <w:sz w:val="22"/>
              </w:rPr>
              <w:t>92.3</w:t>
            </w:r>
          </w:p>
        </w:tc>
        <w:tc>
          <w:tcPr>
            <w:tcW w:type="dxa" w:w="2160"/>
          </w:tcPr>
          <w:p>
            <w:r>
              <w:rPr>
                <w:rFonts w:ascii="Calibri" w:hAnsi="Calibri"/>
                <w:sz w:val="22"/>
              </w:rPr>
              <w:t>104.0</w:t>
            </w:r>
          </w:p>
        </w:tc>
      </w:tr>
      <w:tr>
        <w:tc>
          <w:tcPr>
            <w:tcW w:type="dxa" w:w="2160"/>
          </w:tcPr>
          <w:p>
            <w:r>
              <w:rPr>
                <w:rFonts w:ascii="Calibri" w:hAnsi="Calibri"/>
                <w:sz w:val="22"/>
              </w:rPr>
              <w:t>Jul 17, 2026 (Judge halts merger)</w:t>
            </w:r>
          </w:p>
        </w:tc>
        <w:tc>
          <w:tcPr>
            <w:tcW w:type="dxa" w:w="2160"/>
          </w:tcPr>
          <w:p>
            <w:r>
              <w:rPr>
                <w:rFonts w:ascii="Calibri" w:hAnsi="Calibri"/>
                <w:sz w:val="22"/>
              </w:rPr>
              <w:t>78.6</w:t>
            </w:r>
          </w:p>
        </w:tc>
        <w:tc>
          <w:tcPr>
            <w:tcW w:type="dxa" w:w="2160"/>
          </w:tcPr>
          <w:p>
            <w:r>
              <w:rPr>
                <w:rFonts w:ascii="Calibri" w:hAnsi="Calibri"/>
                <w:sz w:val="22"/>
              </w:rPr>
              <w:t>95.3</w:t>
            </w:r>
          </w:p>
        </w:tc>
        <w:tc>
          <w:tcPr>
            <w:tcW w:type="dxa" w:w="2160"/>
          </w:tcPr>
          <w:p>
            <w:r>
              <w:rPr>
                <w:rFonts w:ascii="Calibri" w:hAnsi="Calibri"/>
                <w:sz w:val="22"/>
              </w:rPr>
              <w:t>103.5</w:t>
            </w:r>
          </w:p>
        </w:tc>
      </w:tr>
      <w:tr>
        <w:tc>
          <w:tcPr>
            <w:tcW w:type="dxa" w:w="2160"/>
          </w:tcPr>
          <w:p>
            <w:r>
              <w:rPr>
                <w:rFonts w:ascii="Calibri" w:hAnsi="Calibri"/>
                <w:sz w:val="22"/>
              </w:rPr>
              <w:t>Jul 24, 2026 (Deal pause announced)</w:t>
            </w:r>
          </w:p>
        </w:tc>
        <w:tc>
          <w:tcPr>
            <w:tcW w:type="dxa" w:w="2160"/>
          </w:tcPr>
          <w:p>
            <w:r>
              <w:rPr>
                <w:rFonts w:ascii="Calibri" w:hAnsi="Calibri"/>
                <w:sz w:val="22"/>
              </w:rPr>
              <w:t>73.8</w:t>
            </w:r>
          </w:p>
        </w:tc>
        <w:tc>
          <w:tcPr>
            <w:tcW w:type="dxa" w:w="2160"/>
          </w:tcPr>
          <w:p>
            <w:r>
              <w:rPr>
                <w:rFonts w:ascii="Calibri" w:hAnsi="Calibri"/>
                <w:sz w:val="22"/>
              </w:rPr>
              <w:t>91.6</w:t>
            </w:r>
          </w:p>
        </w:tc>
        <w:tc>
          <w:tcPr>
            <w:tcW w:type="dxa" w:w="2160"/>
          </w:tcPr>
          <w:p>
            <w:r>
              <w:rPr>
                <w:rFonts w:ascii="Calibri" w:hAnsi="Calibri"/>
                <w:sz w:val="22"/>
              </w:rPr>
              <w:t>102.9</w:t>
            </w:r>
          </w:p>
        </w:tc>
      </w:tr>
      <w:tr>
        <w:tc>
          <w:tcPr>
            <w:tcW w:type="dxa" w:w="2160"/>
          </w:tcPr>
          <w:p>
            <w:r>
              <w:rPr>
                <w:rFonts w:ascii="Calibri" w:hAnsi="Calibri"/>
                <w:sz w:val="22"/>
              </w:rPr>
              <w:t>Jul 31, 2026</w:t>
            </w:r>
          </w:p>
        </w:tc>
        <w:tc>
          <w:tcPr>
            <w:tcW w:type="dxa" w:w="2160"/>
          </w:tcPr>
          <w:p>
            <w:r>
              <w:rPr>
                <w:rFonts w:ascii="Calibri" w:hAnsi="Calibri"/>
                <w:sz w:val="22"/>
              </w:rPr>
              <w:t>71.5</w:t>
            </w:r>
          </w:p>
        </w:tc>
        <w:tc>
          <w:tcPr>
            <w:tcW w:type="dxa" w:w="2160"/>
          </w:tcPr>
          <w:p>
            <w:r>
              <w:rPr>
                <w:rFonts w:ascii="Calibri" w:hAnsi="Calibri"/>
                <w:sz w:val="22"/>
              </w:rPr>
              <w:t>93.2</w:t>
            </w:r>
          </w:p>
        </w:tc>
        <w:tc>
          <w:tcPr>
            <w:tcW w:type="dxa" w:w="2160"/>
          </w:tcPr>
          <w:p>
            <w:r>
              <w:rPr>
                <w:rFonts w:ascii="Calibri" w:hAnsi="Calibri"/>
                <w:sz w:val="22"/>
              </w:rPr>
              <w:t>104.0</w:t>
            </w:r>
          </w:p>
        </w:tc>
      </w:tr>
      <w:tr>
        <w:tc>
          <w:tcPr>
            <w:tcW w:type="dxa" w:w="2160"/>
          </w:tcPr>
          <w:p>
            <w:r>
              <w:rPr>
                <w:rFonts w:ascii="Calibri" w:hAnsi="Calibri"/>
                <w:sz w:val="22"/>
              </w:rPr>
              <w:t>Aug 4, 2026 (Earnings Day)</w:t>
            </w:r>
          </w:p>
        </w:tc>
        <w:tc>
          <w:tcPr>
            <w:tcW w:type="dxa" w:w="2160"/>
          </w:tcPr>
          <w:p>
            <w:r>
              <w:rPr>
                <w:rFonts w:ascii="Calibri" w:hAnsi="Calibri"/>
                <w:sz w:val="22"/>
              </w:rPr>
              <w:t>73.9</w:t>
            </w:r>
          </w:p>
        </w:tc>
        <w:tc>
          <w:tcPr>
            <w:tcW w:type="dxa" w:w="2160"/>
          </w:tcPr>
          <w:p>
            <w:r>
              <w:rPr>
                <w:rFonts w:ascii="Calibri" w:hAnsi="Calibri"/>
                <w:sz w:val="22"/>
              </w:rPr>
              <w:t>95.9</w:t>
            </w:r>
          </w:p>
        </w:tc>
        <w:tc>
          <w:tcPr>
            <w:tcW w:type="dxa" w:w="2160"/>
          </w:tcPr>
          <w:p>
            <w:r>
              <w:rPr>
                <w:rFonts w:ascii="Calibri" w:hAnsi="Calibri"/>
                <w:sz w:val="22"/>
              </w:rPr>
              <w:t>105.5</w:t>
            </w:r>
          </w:p>
        </w:tc>
      </w:tr>
    </w:tbl>
    <w:p>
      <w:r>
        <w:rPr>
          <w:rFonts w:ascii="Calibri" w:hAnsi="Calibri"/>
          <w:i/>
          <w:color w:val="525866"/>
          <w:sz w:val="22"/>
        </w:rPr>
        <w:t>Note: Indexed to 100 at May 4, 2026 (Q1 2026 earnings date). PSKY −26.1% vs. XLC −4.1% vs. SPY +5.5% through July 31, 2026. Key events annotated: Federal judge halts merger (July 20), deal pause announced (July 24). Source: Stock Price Data (Yahoo Finance).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dominant development since Q1 earnings is the </w:t>
      </w:r>
      <w:r>
        <w:rPr>
          <w:rFonts w:ascii="Calibri" w:hAnsi="Calibri"/>
          <w:b/>
          <w:color w:val="525866"/>
          <w:sz w:val="22"/>
        </w:rPr>
        <w:t>WBD merger delay</w:t>
      </w:r>
      <w:r>
        <w:rPr>
          <w:rFonts w:ascii="Calibri" w:hAnsi="Calibri"/>
          <w:color w:val="525866"/>
          <w:sz w:val="22"/>
        </w:rPr>
        <w:t xml:space="preserve"> — a federal judge’s temporary halt and the companies’ subsequent announcement of a pause until at least June 2027 has fundamentally reset deal-close expectations and is the primary driver of PSKY’s ~28% stock decline since May 4. The standalone business narrative remains intact.</w:t>
      </w:r>
    </w:p>
    <w:p>
      <w:pPr>
        <w:pStyle w:val="ListBullet"/>
        <w:ind w:left="360" w:hanging="360"/>
      </w:pPr>
      <w:r>
        <w:rPr>
          <w:rFonts w:ascii="Calibri" w:hAnsi="Calibri"/>
          <w:b/>
          <w:color w:val="525866"/>
          <w:sz w:val="22"/>
        </w:rPr>
        <w:t>July 24, 2026 — WBD Merger Paused Until At Least June 2027:</w:t>
      </w:r>
      <w:r>
        <w:rPr>
          <w:rFonts w:ascii="Calibri" w:hAnsi="Calibri"/>
          <w:color w:val="525866"/>
          <w:sz w:val="22"/>
        </w:rPr>
        <w:t xml:space="preserve"> PSKY announced it would halt the WBD merger pending a federal judge’s consideration of a multi-state antitrust lawsuit. The pause extends the expected close from Q3 2026 to at minimum June 2027. </w:t>
      </w:r>
      <w:r>
        <w:rPr>
          <w:rFonts w:ascii="Calibri" w:hAnsi="Calibri"/>
          <w:i/>
          <w:color w:val="525866"/>
          <w:sz w:val="22"/>
        </w:rPr>
        <w:t>Implication:</w:t>
      </w:r>
      <w:r>
        <w:rPr>
          <w:rFonts w:ascii="Calibri" w:hAnsi="Calibri"/>
          <w:color w:val="525866"/>
          <w:sz w:val="22"/>
        </w:rPr>
        <w:t xml:space="preserve"> Removes near-term deal catalyst; market now pricing ~50/50 odds of completion (per Barron’s, July 28). Elevated leverage risk if deal eventually closes remains a key bear concern.</w:t>
      </w:r>
    </w:p>
    <w:p>
      <w:pPr>
        <w:pStyle w:val="ListBullet"/>
        <w:ind w:left="360" w:hanging="360"/>
      </w:pPr>
      <w:r>
        <w:rPr>
          <w:rFonts w:ascii="Calibri" w:hAnsi="Calibri"/>
          <w:b/>
          <w:color w:val="525866"/>
          <w:sz w:val="22"/>
        </w:rPr>
        <w:t>July 20, 2026 — Federal Judge Temporarily Halts Merger:</w:t>
      </w:r>
      <w:r>
        <w:rPr>
          <w:rFonts w:ascii="Calibri" w:hAnsi="Calibri"/>
          <w:color w:val="525866"/>
          <w:sz w:val="22"/>
        </w:rPr>
        <w:t xml:space="preserve"> A federal judge issued a temporary restraining order blocking the PSKY-WBD merger while a state antitrust challenge is considered; hearing scheduled for August 3. </w:t>
      </w:r>
      <w:r>
        <w:rPr>
          <w:rFonts w:ascii="Calibri" w:hAnsi="Calibri"/>
          <w:i/>
          <w:color w:val="525866"/>
          <w:sz w:val="22"/>
        </w:rPr>
        <w:t>Implication:</w:t>
      </w:r>
      <w:r>
        <w:rPr>
          <w:rFonts w:ascii="Calibri" w:hAnsi="Calibri"/>
          <w:color w:val="525866"/>
          <w:sz w:val="22"/>
        </w:rPr>
        <w:t xml:space="preserve"> Triggered the sharpest single-week stock decline since Q1 earnings (~−8% in the week of July 20).</w:t>
      </w:r>
    </w:p>
    <w:p>
      <w:pPr>
        <w:pStyle w:val="ListBullet"/>
        <w:ind w:left="360" w:hanging="360"/>
      </w:pPr>
      <w:r>
        <w:rPr>
          <w:rFonts w:ascii="Calibri" w:hAnsi="Calibri"/>
          <w:b/>
          <w:color w:val="525866"/>
          <w:sz w:val="22"/>
        </w:rPr>
        <w:t>July 22, 2026 — EU &amp; South Korea Regulatory Approvals:</w:t>
      </w:r>
      <w:r>
        <w:rPr>
          <w:rFonts w:ascii="Calibri" w:hAnsi="Calibri"/>
          <w:color w:val="525866"/>
          <w:sz w:val="22"/>
        </w:rPr>
        <w:t xml:space="preserve"> European Commission approved the merger under EU Merger Regulation (Phase 1, unconditional) and EU Foreign Subsidies Regulation; South Korea’s FTC also approved unconditionally. </w:t>
      </w:r>
      <w:r>
        <w:rPr>
          <w:rFonts w:ascii="Calibri" w:hAnsi="Calibri"/>
          <w:i/>
          <w:color w:val="525866"/>
          <w:sz w:val="22"/>
        </w:rPr>
        <w:t>Implication:</w:t>
      </w:r>
      <w:r>
        <w:rPr>
          <w:rFonts w:ascii="Calibri" w:hAnsi="Calibri"/>
          <w:color w:val="525866"/>
          <w:sz w:val="22"/>
        </w:rPr>
        <w:t xml:space="preserve"> Positive for deal fundamentals but overshadowed by U.S. state litigation; international regulatory path is largely cleared.</w:t>
      </w:r>
    </w:p>
    <w:p>
      <w:pPr>
        <w:pStyle w:val="ListBullet"/>
        <w:ind w:left="360" w:hanging="360"/>
      </w:pPr>
      <w:r>
        <w:rPr>
          <w:rFonts w:ascii="Calibri" w:hAnsi="Calibri"/>
          <w:b/>
          <w:color w:val="525866"/>
          <w:sz w:val="22"/>
        </w:rPr>
        <w:t>July 31, 2026 — PSKY Files WBD Pro Forma Financials (8-K):</w:t>
      </w:r>
      <w:r>
        <w:rPr>
          <w:rFonts w:ascii="Calibri" w:hAnsi="Calibri"/>
          <w:color w:val="525866"/>
          <w:sz w:val="22"/>
        </w:rPr>
        <w:t xml:space="preserve"> PSKY filed WBD’s audited financials and unaudited pro forma combined financial statements (as of/for Q1 2026 and FY 2025) with the SEC in connection with the pending merger. </w:t>
      </w:r>
      <w:r>
        <w:rPr>
          <w:rFonts w:ascii="Calibri" w:hAnsi="Calibri"/>
          <w:i/>
          <w:color w:val="525866"/>
          <w:sz w:val="22"/>
        </w:rPr>
        <w:t>Implication:</w:t>
      </w:r>
      <w:r>
        <w:rPr>
          <w:rFonts w:ascii="Calibri" w:hAnsi="Calibri"/>
          <w:color w:val="525866"/>
          <w:sz w:val="22"/>
        </w:rPr>
        <w:t xml:space="preserve"> Signals continued deal execution progress despite litigation; pro forma data provides first public look at combined entity financials.</w:t>
      </w:r>
    </w:p>
    <w:p>
      <w:pPr>
        <w:pStyle w:val="ListBullet"/>
        <w:ind w:left="360" w:hanging="360"/>
      </w:pPr>
      <w:r>
        <w:rPr>
          <w:rFonts w:ascii="Calibri" w:hAnsi="Calibri"/>
          <w:b/>
          <w:color w:val="525866"/>
          <w:sz w:val="22"/>
        </w:rPr>
        <w:t>Aug. 2–3, 2026 — CA Governor Newsom Encourages Settlement:</w:t>
      </w:r>
      <w:r>
        <w:rPr>
          <w:rFonts w:ascii="Calibri" w:hAnsi="Calibri"/>
          <w:color w:val="525866"/>
          <w:sz w:val="22"/>
        </w:rPr>
        <w:t xml:space="preserve"> California Governor Newsom expressed concerns about his state’s antitrust lawsuit and encouraged AG Rob Bonta to pursue a settlement with PSKY and WBD. </w:t>
      </w:r>
      <w:r>
        <w:rPr>
          <w:rFonts w:ascii="Calibri" w:hAnsi="Calibri"/>
          <w:i/>
          <w:color w:val="525866"/>
          <w:sz w:val="22"/>
        </w:rPr>
        <w:t>Implication:</w:t>
      </w:r>
      <w:r>
        <w:rPr>
          <w:rFonts w:ascii="Calibri" w:hAnsi="Calibri"/>
          <w:color w:val="525866"/>
          <w:sz w:val="22"/>
        </w:rPr>
        <w:t xml:space="preserve"> Modest positive signal ahead of earnings; a settlement with California could remove a key litigation overhang, though other states remain in the suit.</w:t>
      </w:r>
    </w:p>
    <w:p>
      <w:pPr>
        <w:pStyle w:val="ListBullet"/>
        <w:ind w:left="360" w:hanging="360"/>
      </w:pPr>
      <w:r>
        <w:rPr>
          <w:rFonts w:ascii="Calibri" w:hAnsi="Calibri"/>
          <w:b/>
          <w:color w:val="525866"/>
          <w:sz w:val="22"/>
        </w:rPr>
        <w:t>July 29, 2026 — CNN Sale Floated as Regulatory Solution:</w:t>
      </w:r>
      <w:r>
        <w:rPr>
          <w:rFonts w:ascii="Calibri" w:hAnsi="Calibri"/>
          <w:color w:val="525866"/>
          <w:sz w:val="22"/>
        </w:rPr>
        <w:t xml:space="preserve"> A New York Times opinion piece argued that a PSKY sale of CNN would go a long way toward removing regulatory opposition to the WBD deal. </w:t>
      </w:r>
      <w:r>
        <w:rPr>
          <w:rFonts w:ascii="Calibri" w:hAnsi="Calibri"/>
          <w:i/>
          <w:color w:val="525866"/>
          <w:sz w:val="22"/>
        </w:rPr>
        <w:t>Implication:</w:t>
      </w:r>
      <w:r>
        <w:rPr>
          <w:rFonts w:ascii="Calibri" w:hAnsi="Calibri"/>
          <w:color w:val="525866"/>
          <w:sz w:val="22"/>
        </w:rPr>
        <w:t xml:space="preserve"> Highlights potential structural remedies that could accelerate deal resolution; management has not publicly confirmed any CNN divestiture discussions.</w:t>
      </w:r>
    </w:p>
    <w:p>
      <w:pPr>
        <w:pStyle w:val="ListBullet"/>
        <w:ind w:left="360" w:hanging="360"/>
      </w:pPr>
      <w:r>
        <w:rPr>
          <w:rFonts w:ascii="Calibri" w:hAnsi="Calibri"/>
          <w:b/>
          <w:color w:val="525866"/>
          <w:sz w:val="22"/>
        </w:rPr>
        <w:t>July 23, 2026 — Annual Shareholder Meeting; New Board Elected:</w:t>
      </w:r>
      <w:r>
        <w:rPr>
          <w:rFonts w:ascii="Calibri" w:hAnsi="Calibri"/>
          <w:color w:val="525866"/>
          <w:sz w:val="22"/>
        </w:rPr>
        <w:t xml:space="preserve"> PSKY shareholders elected a new board of directors and ratified the auditor at the 2026 annual meeting. </w:t>
      </w:r>
      <w:r>
        <w:rPr>
          <w:rFonts w:ascii="Calibri" w:hAnsi="Calibri"/>
          <w:i/>
          <w:color w:val="525866"/>
          <w:sz w:val="22"/>
        </w:rPr>
        <w:t>Implication:</w:t>
      </w:r>
      <w:r>
        <w:rPr>
          <w:rFonts w:ascii="Calibri" w:hAnsi="Calibri"/>
          <w:color w:val="525866"/>
          <w:sz w:val="22"/>
        </w:rPr>
        <w:t xml:space="preserve"> Routine governance event; new board composition reflects post-Skydance merger leadership structure.</w:t>
      </w:r>
    </w:p>
    <w:p>
      <w:pPr>
        <w:pStyle w:val="ListBullet"/>
        <w:ind w:left="360" w:hanging="360"/>
      </w:pPr>
      <w:r>
        <w:rPr>
          <w:rFonts w:ascii="Calibri" w:hAnsi="Calibri"/>
          <w:b/>
          <w:color w:val="525866"/>
          <w:sz w:val="22"/>
        </w:rPr>
        <w:t>May 13, 2026 — CFO Cinelli at MoffettNathanson Conference:</w:t>
      </w:r>
      <w:r>
        <w:rPr>
          <w:rFonts w:ascii="Calibri" w:hAnsi="Calibri"/>
          <w:color w:val="525866"/>
          <w:sz w:val="22"/>
        </w:rPr>
        <w:t xml:space="preserve"> CFO Dennis Cinelli reaffirmed FY 2026 guidance, highlighted Q1 momentum (Paramount+ +17% YoY, ARPU +14%, Scream 7 $200M WW box office), and raised standalone synergy target to &gt;$3B (from $2B at deal announcement). </w:t>
      </w:r>
      <w:r>
        <w:rPr>
          <w:rFonts w:ascii="Calibri" w:hAnsi="Calibri"/>
          <w:i/>
          <w:color w:val="525866"/>
          <w:sz w:val="22"/>
        </w:rPr>
        <w:t>Implication:</w:t>
      </w:r>
      <w:r>
        <w:rPr>
          <w:rFonts w:ascii="Calibri" w:hAnsi="Calibri"/>
          <w:color w:val="525866"/>
          <w:sz w:val="22"/>
        </w:rPr>
        <w:t xml:space="preserve"> Last major public management communication before Q2 earnings; tone was constructive on standalone execution.</w:t>
      </w:r>
    </w:p>
    <w:p>
      <w:pPr>
        <w:pStyle w:val="ListBullet"/>
        <w:ind w:left="360" w:hanging="360"/>
      </w:pPr>
      <w:r>
        <w:rPr>
          <w:rFonts w:ascii="Calibri" w:hAnsi="Calibri"/>
          <w:b/>
          <w:color w:val="525866"/>
          <w:sz w:val="22"/>
        </w:rPr>
        <w:t>May 13, 2026 — Segment Recast (8-K):</w:t>
      </w:r>
      <w:r>
        <w:rPr>
          <w:rFonts w:ascii="Calibri" w:hAnsi="Calibri"/>
          <w:color w:val="525866"/>
          <w:sz w:val="22"/>
        </w:rPr>
        <w:t xml:space="preserve"> PSKY filed a recast of late-2025 segment data to reflect the new three-segment reporting structure (Studios, DTC, TV Media). </w:t>
      </w:r>
      <w:r>
        <w:rPr>
          <w:rFonts w:ascii="Calibri" w:hAnsi="Calibri"/>
          <w:i/>
          <w:color w:val="525866"/>
          <w:sz w:val="22"/>
        </w:rPr>
        <w:t>Implication:</w:t>
      </w:r>
      <w:r>
        <w:rPr>
          <w:rFonts w:ascii="Calibri" w:hAnsi="Calibri"/>
          <w:color w:val="525866"/>
          <w:sz w:val="22"/>
        </w:rPr>
        <w:t xml:space="preserve"> Improves comparability of Q2 2026 results vs. prior periods; analysts now have clean segment-level baselines.</w:t>
      </w:r>
    </w:p>
    <w:p>
      <w:pPr>
        <w:pStyle w:val="ListBullet"/>
        <w:ind w:left="360" w:hanging="360"/>
      </w:pPr>
      <w:r>
        <w:rPr>
          <w:rFonts w:ascii="Calibri" w:hAnsi="Calibri"/>
          <w:b/>
          <w:color w:val="525866"/>
          <w:sz w:val="22"/>
        </w:rPr>
        <w:t>June 15, 2026 — Fox Acquires Roku for ~$22B:</w:t>
      </w:r>
      <w:r>
        <w:rPr>
          <w:rFonts w:ascii="Calibri" w:hAnsi="Calibri"/>
          <w:color w:val="525866"/>
          <w:sz w:val="22"/>
        </w:rPr>
        <w:t xml:space="preserve"> Fox announced a deal to acquire Roku in a ~$22B transaction, expanding its digital advertising and streaming distribution footprint. </w:t>
      </w:r>
      <w:r>
        <w:rPr>
          <w:rFonts w:ascii="Calibri" w:hAnsi="Calibri"/>
          <w:i/>
          <w:color w:val="525866"/>
          <w:sz w:val="22"/>
        </w:rPr>
        <w:t>Implication:</w:t>
      </w:r>
      <w:r>
        <w:rPr>
          <w:rFonts w:ascii="Calibri" w:hAnsi="Calibri"/>
          <w:color w:val="525866"/>
          <w:sz w:val="22"/>
        </w:rPr>
        <w:t xml:space="preserve"> Competitive read-through: consolidation in streaming distribution accelerates; PSKY’s Pluto TV (AVOD) faces a better-capitalized competitor in Fox/Roku; also signals continued M&amp;A appetite in media.</w:t>
      </w:r>
    </w:p>
    <w:p>
      <w:r>
        <w:br w:type="page"/>
      </w:r>
    </w:p>
    <w:p>
      <w:pPr>
        <w:pStyle w:val="Heading1"/>
        <w:pBdr>
          <w:bottom w:val="single" w:sz="4" w:space="1" w:color="FB9120"/>
        </w:pBdr>
      </w:pPr>
      <w:r>
        <w:rPr>
          <w:rFonts w:ascii="Calibri" w:hAnsi="Calibri"/>
          <w:b/>
          <w:color w:val="3B4259"/>
          <w:sz w:val="40"/>
        </w:rPr>
        <w:t>7. Peer Commentary / Read-Throughs (Last 60 Days)</w:t>
      </w:r>
    </w:p>
    <w:p>
      <w:r>
        <w:rPr>
          <w:rFonts w:ascii="Calibri" w:hAnsi="Calibri"/>
          <w:b/>
          <w:color w:val="525866"/>
          <w:sz w:val="22"/>
        </w:rPr>
        <w:t xml:space="preserve">Key Takeaway: </w:t>
      </w:r>
      <w:r>
        <w:rPr>
          <w:rFonts w:ascii="Calibri" w:hAnsi="Calibri"/>
          <w:color w:val="525866"/>
          <w:sz w:val="22"/>
        </w:rPr>
        <w:t xml:space="preserve">Peer commentary from Q2 2026 earnings calls (NFLX July 16, CMCSA July 23) provides a </w:t>
      </w:r>
      <w:r>
        <w:rPr>
          <w:rFonts w:ascii="Calibri" w:hAnsi="Calibri"/>
          <w:b/>
          <w:color w:val="525866"/>
          <w:sz w:val="22"/>
        </w:rPr>
        <w:t>constructive read-through</w:t>
      </w:r>
      <w:r>
        <w:rPr>
          <w:rFonts w:ascii="Calibri" w:hAnsi="Calibri"/>
          <w:color w:val="525866"/>
          <w:sz w:val="22"/>
        </w:rPr>
        <w:t xml:space="preserve"> for PSKY’s streaming and advertising businesses — live sports drove outsized subscriber and ad revenue growth at Comcast/Peacock, and Netflix confirmed healthy pricing power and ad monetization improvement — but Netflix’s second consecutive quarter of slowing growth is a reminder that the streaming market is maturing and engagement quality matters more than raw subscriber counts.</w:t>
      </w:r>
    </w:p>
    <w:p>
      <w:r>
        <w:rPr>
          <w:rFonts w:ascii="Calibri" w:hAnsi="Calibri"/>
          <w:b/>
          <w:i/>
          <w:color w:val="525866"/>
          <w:sz w:val="22"/>
        </w:rPr>
        <w:t>Note on Methodology:</w:t>
      </w:r>
      <w:r>
        <w:rPr>
          <w:rFonts w:ascii="Calibri" w:hAnsi="Calibri"/>
          <w:i/>
          <w:color w:val="525866"/>
          <w:sz w:val="22"/>
        </w:rPr>
        <w:t xml:space="preserve"> Only commentary from peers’ Q2 2026 earnings calls (reporting on the April–June 2026 quarter) or forward-looking commentary made after those peers’ prior earnings is included below. Prior-quarter-only commentary (e.g., Q1 2026 results discussed on Q1 calls) is excluded.</w:t>
      </w:r>
    </w:p>
    <w:p>
      <w:pPr>
        <w:pStyle w:val="Heading2"/>
      </w:pPr>
      <w:r>
        <w:rPr>
          <w:rFonts w:ascii="Calibri" w:hAnsi="Calibri"/>
          <w:b/>
          <w:color w:val="3B4259"/>
          <w:sz w:val="28"/>
        </w:rPr>
        <w:t>Comcast / Peacock (CMCSA) — Q2 2026 Earnings Call (July 23, 2026)</w:t>
      </w:r>
    </w:p>
    <w:p>
      <w:r>
        <w:rPr>
          <w:rFonts w:ascii="Calibri" w:hAnsi="Calibri"/>
          <w:b/>
          <w:color w:val="525866"/>
          <w:sz w:val="22"/>
        </w:rPr>
        <w:t>Streaming Subscriber Growth — Live Sports as the Acquisition Engine:</w:t>
      </w:r>
    </w:p>
    <w:p>
      <w:pPr>
        <w:pStyle w:val="ListBullet"/>
        <w:ind w:left="360" w:hanging="360"/>
      </w:pPr>
      <w:r>
        <w:rPr>
          <w:rFonts w:ascii="Calibri" w:hAnsi="Calibri"/>
          <w:color w:val="525866"/>
          <w:sz w:val="22"/>
        </w:rPr>
        <w:t>Peacock added 2 million paid subscribers in Q2 2026 (reaching 48M total, +7M YoY), with June being its biggest viewership month ever, fueled by the FIFA World Cup and Love Island. Management described this as “important evidence that we are managing event-driven churn effectively by bringing users in around major moments and keeping them engaged with the broader content slate.”</w:t>
      </w:r>
    </w:p>
    <w:p>
      <w:pPr>
        <w:pStyle w:val="ListBullet"/>
        <w:ind w:left="360" w:hanging="360"/>
      </w:pPr>
      <w:r>
        <w:rPr>
          <w:rFonts w:ascii="Calibri" w:hAnsi="Calibri"/>
          <w:b/>
          <w:color w:val="525866"/>
          <w:sz w:val="22"/>
        </w:rPr>
        <w:t>Read-through to PSKY:</w:t>
      </w:r>
      <w:r>
        <w:rPr>
          <w:rFonts w:ascii="Calibri" w:hAnsi="Calibri"/>
          <w:color w:val="525866"/>
          <w:sz w:val="22"/>
        </w:rPr>
        <w:t xml:space="preserve"> Directly validates PSKY’s UFC strategy. If Peacock can drive 2M net adds in a quarter anchored by a single live sports event, PSKY’s UFC partnership (10M+ viewers, 100M+ cumulative hours in Q1) should continue to be a meaningful subscriber acquisition and retention driver in Q2. The “event-driven churn management” framing is exactly the thesis PSKY management articulated for UFC.</w:t>
      </w:r>
    </w:p>
    <w:p>
      <w:r>
        <w:rPr>
          <w:rFonts w:ascii="Calibri" w:hAnsi="Calibri"/>
          <w:b/>
          <w:color w:val="525866"/>
          <w:sz w:val="22"/>
        </w:rPr>
        <w:t>Streaming Profitability Milestone:</w:t>
      </w:r>
    </w:p>
    <w:p>
      <w:pPr>
        <w:pStyle w:val="ListBullet"/>
        <w:ind w:left="360" w:hanging="360"/>
      </w:pPr>
      <w:r>
        <w:rPr>
          <w:rFonts w:ascii="Calibri" w:hAnsi="Calibri"/>
          <w:color w:val="525866"/>
          <w:sz w:val="22"/>
        </w:rPr>
        <w:t>Peacock reached profitability for the first time in Q2 2026, generating $189M of EBITDA in the quarter. Management noted profitability will vary quarter-to-quarter based on sports schedule timing.</w:t>
      </w:r>
    </w:p>
    <w:p>
      <w:pPr>
        <w:pStyle w:val="ListBullet"/>
        <w:ind w:left="360" w:hanging="360"/>
      </w:pPr>
      <w:r>
        <w:rPr>
          <w:rFonts w:ascii="Calibri" w:hAnsi="Calibri"/>
          <w:b/>
          <w:color w:val="525866"/>
          <w:sz w:val="22"/>
        </w:rPr>
        <w:t>Read-through to PSKY:</w:t>
      </w:r>
      <w:r>
        <w:rPr>
          <w:rFonts w:ascii="Calibri" w:hAnsi="Calibri"/>
          <w:color w:val="525866"/>
          <w:sz w:val="22"/>
        </w:rPr>
        <w:t xml:space="preserve"> Confirms that streaming profitability is achievable and that content timing creates natural quarterly variability — consistent with PSKY’s own messaging that DTC margins will face pressure in Q3/Q4 as the content slate launches. Peacock’s milestone also validates PSKY’s claim that its DTC segment achieved full-year profitability in 2025.</w:t>
      </w:r>
    </w:p>
    <w:p>
      <w:r>
        <w:rPr>
          <w:rFonts w:ascii="Calibri" w:hAnsi="Calibri"/>
          <w:b/>
          <w:color w:val="525866"/>
          <w:sz w:val="22"/>
        </w:rPr>
        <w:t>Advertising Revenue — Live Sports Driving ~70% Growth:</w:t>
      </w:r>
    </w:p>
    <w:p>
      <w:pPr>
        <w:pStyle w:val="ListBullet"/>
        <w:ind w:left="360" w:hanging="360"/>
      </w:pPr>
      <w:r>
        <w:rPr>
          <w:rFonts w:ascii="Calibri" w:hAnsi="Calibri"/>
          <w:color w:val="525866"/>
          <w:sz w:val="22"/>
        </w:rPr>
        <w:t>Peacock’s advertising revenue increased nearly 70% in Q2 2026, fueled by the FIFA World Cup simulcast on Telemundo, NBA playoffs, and Love Island. Management noted: “The NBA, Love Island and the World Cup are all contributing to strong engagement and robust ad sales across both linear and streaming.”</w:t>
      </w:r>
    </w:p>
    <w:p>
      <w:pPr>
        <w:pStyle w:val="ListBullet"/>
        <w:ind w:left="360" w:hanging="360"/>
      </w:pPr>
      <w:r>
        <w:rPr>
          <w:rFonts w:ascii="Calibri" w:hAnsi="Calibri"/>
          <w:b/>
          <w:color w:val="525866"/>
          <w:sz w:val="22"/>
        </w:rPr>
        <w:t>Read-through to PSKY:</w:t>
      </w:r>
      <w:r>
        <w:rPr>
          <w:rFonts w:ascii="Calibri" w:hAnsi="Calibri"/>
          <w:color w:val="525866"/>
          <w:sz w:val="22"/>
        </w:rPr>
        <w:t xml:space="preserve"> Strong positive read-through for PSKY’s DTC advertising business. PSKY’s UFC partnership was already a “meaningful contributor” to Q1 ad results; Comcast’s data confirms that live sports events drive outsized ad demand on streaming platforms. PSKY’s DTC ad business returned to growth in Q1 and should continue to benefit from UFC in Q2.</w:t>
      </w:r>
    </w:p>
    <w:p>
      <w:r>
        <w:rPr>
          <w:rFonts w:ascii="Calibri" w:hAnsi="Calibri"/>
          <w:b/>
          <w:color w:val="525866"/>
          <w:sz w:val="22"/>
        </w:rPr>
        <w:t>Multi-Platform Synergy (Linear + Streaming):</w:t>
      </w:r>
    </w:p>
    <w:p>
      <w:pPr>
        <w:pStyle w:val="ListBullet"/>
        <w:ind w:left="360" w:hanging="360"/>
      </w:pPr>
      <w:r>
        <w:rPr>
          <w:rFonts w:ascii="Calibri" w:hAnsi="Calibri"/>
          <w:color w:val="525866"/>
          <w:sz w:val="22"/>
        </w:rPr>
        <w:t>Comcast highlighted that NBC reaches over 100 million households per quarter in linear, and combined with Peacock, reaches 80% of the U.S. — framing the broadcast-streaming combination as a unique competitive advantage.</w:t>
      </w:r>
    </w:p>
    <w:p>
      <w:pPr>
        <w:pStyle w:val="ListBullet"/>
        <w:ind w:left="360" w:hanging="360"/>
      </w:pPr>
      <w:r>
        <w:rPr>
          <w:rFonts w:ascii="Calibri" w:hAnsi="Calibri"/>
          <w:b/>
          <w:color w:val="525866"/>
          <w:sz w:val="22"/>
        </w:rPr>
        <w:t>Read-through to PSKY:</w:t>
      </w:r>
      <w:r>
        <w:rPr>
          <w:rFonts w:ascii="Calibri" w:hAnsi="Calibri"/>
          <w:color w:val="525866"/>
          <w:sz w:val="22"/>
        </w:rPr>
        <w:t xml:space="preserve"> Validates PSKY’s own “CBS + Paramount+” dual-platform strategy. CBS’s reach (13 of top 20 primetime series) combined with Paramount+ creates a similar flywheel. The Comcast data point reinforces that broadcast scale remains a durable competitive asset in the streaming era.</w:t>
      </w:r>
    </w:p>
    <w:p>
      <w:pPr>
        <w:pStyle w:val="Heading2"/>
      </w:pPr>
      <w:r>
        <w:rPr>
          <w:rFonts w:ascii="Calibri" w:hAnsi="Calibri"/>
          <w:b/>
          <w:color w:val="3B4259"/>
          <w:sz w:val="28"/>
        </w:rPr>
        <w:t>Netflix (NFLX) — Q2 2026 Earnings Call (July 16, 2026)</w:t>
      </w:r>
    </w:p>
    <w:p>
      <w:r>
        <w:rPr>
          <w:rFonts w:ascii="Calibri" w:hAnsi="Calibri"/>
          <w:b/>
          <w:color w:val="525866"/>
          <w:sz w:val="22"/>
        </w:rPr>
        <w:t>Revenue Growth Outlook — Slowing but Still Healthy:</w:t>
      </w:r>
    </w:p>
    <w:p>
      <w:pPr>
        <w:pStyle w:val="ListBullet"/>
        <w:ind w:left="360" w:hanging="360"/>
      </w:pPr>
      <w:r>
        <w:rPr>
          <w:rFonts w:ascii="Calibri" w:hAnsi="Calibri"/>
          <w:color w:val="525866"/>
          <w:sz w:val="22"/>
        </w:rPr>
        <w:t>Netflix guided Q3 2026 revenue growth of 12% (11% FX-neutral) and full-year 2026 growth of 13–14%, driven by subscription growth, pricing, and higher ad revenue. However, this marked a second consecutive quarter of slowing growth, which disappointed investors and sent the stock down ~8% on earnings day.</w:t>
      </w:r>
    </w:p>
    <w:p>
      <w:pPr>
        <w:pStyle w:val="ListBullet"/>
        <w:ind w:left="360" w:hanging="360"/>
      </w:pPr>
      <w:r>
        <w:rPr>
          <w:rFonts w:ascii="Calibri" w:hAnsi="Calibri"/>
          <w:b/>
          <w:color w:val="525866"/>
          <w:sz w:val="22"/>
        </w:rPr>
        <w:t>Read-through to PSKY:</w:t>
      </w:r>
      <w:r>
        <w:rPr>
          <w:rFonts w:ascii="Calibri" w:hAnsi="Calibri"/>
          <w:color w:val="525866"/>
          <w:sz w:val="22"/>
        </w:rPr>
        <w:t xml:space="preserve"> Mixed. The slowing growth narrative at the market leader suggests the streaming market is maturing, which could pressure PSKY’s own subscriber growth expectations. However, Netflix’s continued revenue growth (driven by pricing and ads) validates PSKY’s ARPU-over-volume strategy — the January price increase and mix shift toward higher-ARPU subscribers is the right playbook even in a slower-growth environment.</w:t>
      </w:r>
    </w:p>
    <w:p>
      <w:r>
        <w:rPr>
          <w:rFonts w:ascii="Calibri" w:hAnsi="Calibri"/>
          <w:b/>
          <w:color w:val="525866"/>
          <w:sz w:val="22"/>
        </w:rPr>
        <w:t>Advertising Monetization — Gap Narrowing:</w:t>
      </w:r>
    </w:p>
    <w:p>
      <w:pPr>
        <w:pStyle w:val="ListBullet"/>
        <w:ind w:left="360" w:hanging="360"/>
      </w:pPr>
      <w:r>
        <w:rPr>
          <w:rFonts w:ascii="Calibri" w:hAnsi="Calibri"/>
          <w:color w:val="525866"/>
          <w:sz w:val="22"/>
        </w:rPr>
        <w:t>Netflix noted that “there’s still a gap between ad-tier ARPU and standard-without-ads ARPU, but that gap is narrowing” as the company expands demand sources, executes on its own ad tech stack, and adds more ad products and measurement capabilities. Higher ad revenue is a key Q3 driver.</w:t>
      </w:r>
    </w:p>
    <w:p>
      <w:pPr>
        <w:pStyle w:val="ListBullet"/>
        <w:ind w:left="360" w:hanging="360"/>
      </w:pPr>
      <w:r>
        <w:rPr>
          <w:rFonts w:ascii="Calibri" w:hAnsi="Calibri"/>
          <w:b/>
          <w:color w:val="525866"/>
          <w:sz w:val="22"/>
        </w:rPr>
        <w:t>Read-through to PSKY:</w:t>
      </w:r>
      <w:r>
        <w:rPr>
          <w:rFonts w:ascii="Calibri" w:hAnsi="Calibri"/>
          <w:color w:val="525866"/>
          <w:sz w:val="22"/>
        </w:rPr>
        <w:t xml:space="preserve"> Positive read-through for PSKY’s Precision+ ad tech investment and its DTC advertising recovery. Netflix’s experience confirms that building out ad tech infrastructure (demand sources, measurement, fill rates) is the path to closing the ARPU gap between ad-supported and ad-free tiers — exactly what PSKY is executing with Precision+ and its consolidated national sales structure.</w:t>
      </w:r>
    </w:p>
    <w:p>
      <w:r>
        <w:rPr>
          <w:rFonts w:ascii="Calibri" w:hAnsi="Calibri"/>
          <w:b/>
          <w:color w:val="525866"/>
          <w:sz w:val="22"/>
        </w:rPr>
        <w:t>Pricing Power — Price Increases Going Well:</w:t>
      </w:r>
    </w:p>
    <w:p>
      <w:pPr>
        <w:pStyle w:val="ListBullet"/>
        <w:ind w:left="360" w:hanging="360"/>
      </w:pPr>
      <w:r>
        <w:rPr>
          <w:rFonts w:ascii="Calibri" w:hAnsi="Calibri"/>
          <w:color w:val="525866"/>
          <w:sz w:val="22"/>
        </w:rPr>
        <w:t>Netflix confirmed that its first-half 2026 price changes in the U.S., Mexico, and Spain “have gone well” and are “consistent with our expectations,” with healthy acquisition and retention trends continuing.</w:t>
      </w:r>
    </w:p>
    <w:p>
      <w:pPr>
        <w:pStyle w:val="ListBullet"/>
        <w:ind w:left="360" w:hanging="360"/>
      </w:pPr>
      <w:r>
        <w:rPr>
          <w:rFonts w:ascii="Calibri" w:hAnsi="Calibri"/>
          <w:b/>
          <w:color w:val="525866"/>
          <w:sz w:val="22"/>
        </w:rPr>
        <w:t>Read-through to PSKY:</w:t>
      </w:r>
      <w:r>
        <w:rPr>
          <w:rFonts w:ascii="Calibri" w:hAnsi="Calibri"/>
          <w:color w:val="525866"/>
          <w:sz w:val="22"/>
        </w:rPr>
        <w:t xml:space="preserve"> Direct positive read-through for PSKY’s January 2026 price increase. If the market leader is successfully passing through price increases with minimal churn, PSKY’s own price hike (which drove Q1 ARPU +14% YoY) is likely to continue to hold in Q2 without material subscriber pressure.</w:t>
      </w:r>
    </w:p>
    <w:p>
      <w:r>
        <w:rPr>
          <w:rFonts w:ascii="Calibri" w:hAnsi="Calibri"/>
          <w:b/>
          <w:color w:val="525866"/>
          <w:sz w:val="22"/>
        </w:rPr>
        <w:t>Live Events as Acquisition &amp; Ad Revenue Driver:</w:t>
      </w:r>
    </w:p>
    <w:p>
      <w:pPr>
        <w:pStyle w:val="ListBullet"/>
        <w:ind w:left="360" w:hanging="360"/>
      </w:pPr>
      <w:r>
        <w:rPr>
          <w:rFonts w:ascii="Calibri" w:hAnsi="Calibri"/>
          <w:color w:val="525866"/>
          <w:sz w:val="22"/>
        </w:rPr>
        <w:t>Netflix highlighted live programming as “playing an important role driving acquisition, accelerating ad revenue, fueling conversation, helping us to launch new shows.” Q2 included the Kevin Hart roast and MLB Home Run Derby; the World Baseball Classic in Japan became Netflix’s most-watched program ever in that market.</w:t>
      </w:r>
    </w:p>
    <w:p>
      <w:pPr>
        <w:pStyle w:val="ListBullet"/>
        <w:ind w:left="360" w:hanging="360"/>
      </w:pPr>
      <w:r>
        <w:rPr>
          <w:rFonts w:ascii="Calibri" w:hAnsi="Calibri"/>
          <w:b/>
          <w:color w:val="525866"/>
          <w:sz w:val="22"/>
        </w:rPr>
        <w:t>Read-through to PSKY:</w:t>
      </w:r>
      <w:r>
        <w:rPr>
          <w:rFonts w:ascii="Calibri" w:hAnsi="Calibri"/>
          <w:color w:val="525866"/>
          <w:sz w:val="22"/>
        </w:rPr>
        <w:t xml:space="preserve"> Strongly validates PSKY’s live sports investment thesis (UFC, NFL, March Madness, UEFA Champions League, WNBA). Netflix’s data confirms that live events drive outsized acquisition and ad revenue relative to scripted content — a key pillar of PSKY’s DTC growth strategy.</w:t>
      </w:r>
    </w:p>
    <w:p>
      <w:r>
        <w:rPr>
          <w:rFonts w:ascii="Calibri" w:hAnsi="Calibri"/>
          <w:b/>
          <w:color w:val="525866"/>
          <w:sz w:val="22"/>
        </w:rPr>
        <w:t>Content Engagement — Viewing Hours Growing:</w:t>
      </w:r>
    </w:p>
    <w:p>
      <w:pPr>
        <w:pStyle w:val="ListBullet"/>
        <w:ind w:left="360" w:hanging="360"/>
      </w:pPr>
      <w:r>
        <w:rPr>
          <w:rFonts w:ascii="Calibri" w:hAnsi="Calibri"/>
          <w:color w:val="525866"/>
          <w:sz w:val="22"/>
        </w:rPr>
        <w:t>Netflix reported viewing hours grew 2% in H1 2026 (an incremental 1.5 billion hours vs. H1 2025), a slight acceleration vs. 1.5% growth in 2025. Management emphasized that “quality, variety, and quantity of engagement” drive retention and willingness to pay.</w:t>
      </w:r>
    </w:p>
    <w:p>
      <w:pPr>
        <w:pStyle w:val="ListBullet"/>
        <w:ind w:left="360" w:hanging="360"/>
      </w:pPr>
      <w:r>
        <w:rPr>
          <w:rFonts w:ascii="Calibri" w:hAnsi="Calibri"/>
          <w:b/>
          <w:color w:val="525866"/>
          <w:sz w:val="22"/>
        </w:rPr>
        <w:t>Read-through to PSKY:</w:t>
      </w:r>
      <w:r>
        <w:rPr>
          <w:rFonts w:ascii="Calibri" w:hAnsi="Calibri"/>
          <w:color w:val="525866"/>
          <w:sz w:val="22"/>
        </w:rPr>
        <w:t xml:space="preserve"> Engagement growth at Netflix suggests the streaming market is not saturated. PSKY’s platform convergence (BET+, Pluto TV, Paramount+ on one tech stack, targeted for mid-2026) and short-form video launch (April 2026 beta) are designed to drive similar engagement depth. Pluto TV’s growing VOD engagement per user is a positive leading indicator.</w:t>
      </w:r>
    </w:p>
    <w:p>
      <w:r>
        <w:rPr>
          <w:rFonts w:ascii="Calibri" w:hAnsi="Calibri"/>
          <w:i/>
          <w:color w:val="525866"/>
          <w:sz w:val="22"/>
        </w:rPr>
        <w:t>Sources: CMCSA Q2 2026 Earnings Call transcript (July 23, 2026); NFLX Q2 2026 Earnings Call transcript (July 16, 2026). All commentary pertains to the Q2 2026 reporting period (April–June 2026) or forward-looking guidance issued after those companies’ Q1 2026 earnings.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w:t>
      </w:r>
      <w:r>
        <w:rPr>
          <w:rFonts w:ascii="Calibri" w:hAnsi="Calibri"/>
          <w:b/>
          <w:color w:val="525866"/>
          <w:sz w:val="22"/>
        </w:rPr>
        <w:t>routine RSU vesting and tax-withholding transactions</w:t>
      </w:r>
      <w:r>
        <w:rPr>
          <w:rFonts w:ascii="Calibri" w:hAnsi="Calibri"/>
          <w:color w:val="525866"/>
          <w:sz w:val="22"/>
        </w:rPr>
        <w:t xml:space="preserve"> — no open-market buys or discretionary sales. The absence of any open-market buying by executives despite a ~28% stock decline is notable but not alarming given the WBD deal’s pending status (insiders may be restricted from trading during the deal process).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Cinelli, Dennis</w:t>
            </w:r>
          </w:p>
        </w:tc>
        <w:tc>
          <w:tcPr>
            <w:tcW w:type="dxa" w:w="1440"/>
          </w:tcPr>
          <w:p>
            <w:r>
              <w:rPr>
                <w:rFonts w:ascii="Calibri" w:hAnsi="Calibri"/>
                <w:sz w:val="22"/>
              </w:rPr>
              <w:t>CFO</w:t>
            </w:r>
          </w:p>
        </w:tc>
        <w:tc>
          <w:tcPr>
            <w:tcW w:type="dxa" w:w="1440"/>
          </w:tcPr>
          <w:p>
            <w:r>
              <w:rPr>
                <w:rFonts w:ascii="Calibri" w:hAnsi="Calibri"/>
                <w:sz w:val="22"/>
              </w:rPr>
              <w:t>RSU Vest / Tax Withholding</w:t>
            </w:r>
          </w:p>
        </w:tc>
        <w:tc>
          <w:tcPr>
            <w:tcW w:type="dxa" w:w="1440"/>
          </w:tcPr>
          <w:p>
            <w:r>
              <w:rPr>
                <w:rFonts w:ascii="Calibri" w:hAnsi="Calibri"/>
                <w:sz w:val="22"/>
              </w:rPr>
              <w:t>187,500 vested; 95,401 withheld for taxes</w:t>
            </w:r>
          </w:p>
        </w:tc>
        <w:tc>
          <w:tcPr>
            <w:tcW w:type="dxa" w:w="1440"/>
          </w:tcPr>
          <w:p>
            <w:r>
              <w:rPr>
                <w:rFonts w:ascii="Calibri" w:hAnsi="Calibri"/>
                <w:sz w:val="22"/>
              </w:rPr>
              <w:t>Jul 15, 2026</w:t>
            </w:r>
          </w:p>
        </w:tc>
        <w:tc>
          <w:tcPr>
            <w:tcW w:type="dxa" w:w="1440"/>
          </w:tcPr>
          <w:p>
            <w:r>
              <w:rPr>
                <w:rFonts w:ascii="Calibri" w:hAnsi="Calibri"/>
                <w:sz w:val="22"/>
              </w:rPr>
              <w:t>Routine RSU vest; tax withholding (code F) is obligation-driven, not discretionary sale</w:t>
            </w:r>
          </w:p>
        </w:tc>
      </w:tr>
      <w:tr>
        <w:tc>
          <w:tcPr>
            <w:tcW w:type="dxa" w:w="1440"/>
          </w:tcPr>
          <w:p>
            <w:r>
              <w:rPr>
                <w:rFonts w:ascii="Calibri" w:hAnsi="Calibri"/>
                <w:sz w:val="22"/>
              </w:rPr>
              <w:t>Delrahim, Makan</w:t>
            </w:r>
          </w:p>
        </w:tc>
        <w:tc>
          <w:tcPr>
            <w:tcW w:type="dxa" w:w="1440"/>
          </w:tcPr>
          <w:p>
            <w:r>
              <w:rPr>
                <w:rFonts w:ascii="Calibri" w:hAnsi="Calibri"/>
                <w:sz w:val="22"/>
              </w:rPr>
              <w:t>Chief Legal Officer</w:t>
            </w:r>
          </w:p>
        </w:tc>
        <w:tc>
          <w:tcPr>
            <w:tcW w:type="dxa" w:w="1440"/>
          </w:tcPr>
          <w:p>
            <w:r>
              <w:rPr>
                <w:rFonts w:ascii="Calibri" w:hAnsi="Calibri"/>
                <w:sz w:val="22"/>
              </w:rPr>
              <w:t>RSU Vest (M → A)</w:t>
            </w:r>
          </w:p>
        </w:tc>
        <w:tc>
          <w:tcPr>
            <w:tcW w:type="dxa" w:w="1440"/>
          </w:tcPr>
          <w:p>
            <w:r>
              <w:rPr>
                <w:rFonts w:ascii="Calibri" w:hAnsi="Calibri"/>
                <w:sz w:val="22"/>
              </w:rPr>
              <w:t>150,000 vested</w:t>
            </w:r>
          </w:p>
        </w:tc>
        <w:tc>
          <w:tcPr>
            <w:tcW w:type="dxa" w:w="1440"/>
          </w:tcPr>
          <w:p>
            <w:r>
              <w:rPr>
                <w:rFonts w:ascii="Calibri" w:hAnsi="Calibri"/>
                <w:sz w:val="22"/>
              </w:rPr>
              <w:t>Jul 6, 2026</w:t>
            </w:r>
          </w:p>
        </w:tc>
        <w:tc>
          <w:tcPr>
            <w:tcW w:type="dxa" w:w="1440"/>
          </w:tcPr>
          <w:p>
            <w:r>
              <w:rPr>
                <w:rFonts w:ascii="Calibri" w:hAnsi="Calibri"/>
                <w:sz w:val="22"/>
              </w:rPr>
              <w:t>Routine RSU vest; no open-market sale recorded</w:t>
            </w:r>
          </w:p>
        </w:tc>
      </w:tr>
      <w:tr>
        <w:tc>
          <w:tcPr>
            <w:tcW w:type="dxa" w:w="1440"/>
          </w:tcPr>
          <w:p>
            <w:r>
              <w:rPr>
                <w:rFonts w:ascii="Calibri" w:hAnsi="Calibri"/>
                <w:sz w:val="22"/>
              </w:rPr>
              <w:t>Multiple Directors (Byrne, Campion, Cardinale, Catz, Hamill, Lansing, Marinelli, Thornton)</w:t>
            </w:r>
          </w:p>
        </w:tc>
        <w:tc>
          <w:tcPr>
            <w:tcW w:type="dxa" w:w="1440"/>
          </w:tcPr>
          <w:p>
            <w:r>
              <w:rPr>
                <w:rFonts w:ascii="Calibri" w:hAnsi="Calibri"/>
                <w:sz w:val="22"/>
              </w:rPr>
              <w:t>Directors</w:t>
            </w:r>
          </w:p>
        </w:tc>
        <w:tc>
          <w:tcPr>
            <w:tcW w:type="dxa" w:w="1440"/>
          </w:tcPr>
          <w:p>
            <w:r>
              <w:rPr>
                <w:rFonts w:ascii="Calibri" w:hAnsi="Calibri"/>
                <w:sz w:val="22"/>
              </w:rPr>
              <w:t>RSU Vest (Annual Director Grant)</w:t>
            </w:r>
          </w:p>
        </w:tc>
        <w:tc>
          <w:tcPr>
            <w:tcW w:type="dxa" w:w="1440"/>
          </w:tcPr>
          <w:p>
            <w:r>
              <w:rPr>
                <w:rFonts w:ascii="Calibri" w:hAnsi="Calibri"/>
                <w:sz w:val="22"/>
              </w:rPr>
              <w:t>25,000 vested + 46,893 new RSUs granted per director</w:t>
            </w:r>
          </w:p>
        </w:tc>
        <w:tc>
          <w:tcPr>
            <w:tcW w:type="dxa" w:w="1440"/>
          </w:tcPr>
          <w:p>
            <w:r>
              <w:rPr>
                <w:rFonts w:ascii="Calibri" w:hAnsi="Calibri"/>
                <w:sz w:val="22"/>
              </w:rPr>
              <w:t>Jul 21, 2026</w:t>
            </w:r>
          </w:p>
        </w:tc>
        <w:tc>
          <w:tcPr>
            <w:tcW w:type="dxa" w:w="1440"/>
          </w:tcPr>
          <w:p>
            <w:r>
              <w:rPr>
                <w:rFonts w:ascii="Calibri" w:hAnsi="Calibri"/>
                <w:sz w:val="22"/>
              </w:rPr>
              <w:t>Annual director compensation grant; routine and non-discretionary</w:t>
            </w:r>
          </w:p>
        </w:tc>
      </w:tr>
      <w:tr>
        <w:tc>
          <w:tcPr>
            <w:tcW w:type="dxa" w:w="1440"/>
          </w:tcPr>
          <w:p>
            <w:r>
              <w:rPr>
                <w:rFonts w:ascii="Calibri" w:hAnsi="Calibri"/>
                <w:sz w:val="22"/>
              </w:rPr>
              <w:t>Ellison, David Ferris</w:t>
            </w:r>
          </w:p>
        </w:tc>
        <w:tc>
          <w:tcPr>
            <w:tcW w:type="dxa" w:w="1440"/>
          </w:tcPr>
          <w:p>
            <w:r>
              <w:rPr>
                <w:rFonts w:ascii="Calibri" w:hAnsi="Calibri"/>
                <w:sz w:val="22"/>
              </w:rPr>
              <w:t>CEO, Director</w:t>
            </w:r>
          </w:p>
        </w:tc>
        <w:tc>
          <w:tcPr>
            <w:tcW w:type="dxa" w:w="1440"/>
          </w:tcPr>
          <w:p>
            <w:r>
              <w:rPr>
                <w:rFonts w:ascii="Calibri" w:hAnsi="Calibri"/>
                <w:sz w:val="22"/>
              </w:rPr>
              <w:t>RSU Vest / Tax Withholding</w:t>
            </w:r>
          </w:p>
        </w:tc>
        <w:tc>
          <w:tcPr>
            <w:tcW w:type="dxa" w:w="1440"/>
          </w:tcPr>
          <w:p>
            <w:r>
              <w:rPr>
                <w:rFonts w:ascii="Calibri" w:hAnsi="Calibri"/>
                <w:sz w:val="22"/>
              </w:rPr>
              <w:t>250,000 vested; 127,200 withheld for taxes</w:t>
            </w:r>
          </w:p>
        </w:tc>
        <w:tc>
          <w:tcPr>
            <w:tcW w:type="dxa" w:w="1440"/>
          </w:tcPr>
          <w:p>
            <w:r>
              <w:rPr>
                <w:rFonts w:ascii="Calibri" w:hAnsi="Calibri"/>
                <w:sz w:val="22"/>
              </w:rPr>
              <w:t>May 7, 2026</w:t>
            </w:r>
          </w:p>
        </w:tc>
        <w:tc>
          <w:tcPr>
            <w:tcW w:type="dxa" w:w="1440"/>
          </w:tcPr>
          <w:p>
            <w:r>
              <w:rPr>
                <w:rFonts w:ascii="Calibri" w:hAnsi="Calibri"/>
                <w:sz w:val="22"/>
              </w:rPr>
              <w:t>Routine RSU vest; tax withholding (code F) is obligation-driven, not discretionary sale</w:t>
            </w:r>
          </w:p>
        </w:tc>
      </w:tr>
      <w:tr>
        <w:tc>
          <w:tcPr>
            <w:tcW w:type="dxa" w:w="1440"/>
          </w:tcPr>
          <w:p>
            <w:r>
              <w:rPr>
                <w:rFonts w:ascii="Calibri" w:hAnsi="Calibri"/>
                <w:sz w:val="22"/>
              </w:rPr>
              <w:t>Brandon-Gordon, Andrew Mark</w:t>
            </w:r>
          </w:p>
        </w:tc>
        <w:tc>
          <w:tcPr>
            <w:tcW w:type="dxa" w:w="1440"/>
          </w:tcPr>
          <w:p>
            <w:r>
              <w:rPr>
                <w:rFonts w:ascii="Calibri" w:hAnsi="Calibri"/>
                <w:sz w:val="22"/>
              </w:rPr>
              <w:t>CSO &amp; COO, Director</w:t>
            </w:r>
          </w:p>
        </w:tc>
        <w:tc>
          <w:tcPr>
            <w:tcW w:type="dxa" w:w="1440"/>
          </w:tcPr>
          <w:p>
            <w:r>
              <w:rPr>
                <w:rFonts w:ascii="Calibri" w:hAnsi="Calibri"/>
                <w:sz w:val="22"/>
              </w:rPr>
              <w:t>RSU Vest / Tax Withholding</w:t>
            </w:r>
          </w:p>
        </w:tc>
        <w:tc>
          <w:tcPr>
            <w:tcW w:type="dxa" w:w="1440"/>
          </w:tcPr>
          <w:p>
            <w:r>
              <w:rPr>
                <w:rFonts w:ascii="Calibri" w:hAnsi="Calibri"/>
                <w:sz w:val="22"/>
              </w:rPr>
              <w:t>200,000 vested; 101,760 withheld for taxes</w:t>
            </w:r>
          </w:p>
        </w:tc>
        <w:tc>
          <w:tcPr>
            <w:tcW w:type="dxa" w:w="1440"/>
          </w:tcPr>
          <w:p>
            <w:r>
              <w:rPr>
                <w:rFonts w:ascii="Calibri" w:hAnsi="Calibri"/>
                <w:sz w:val="22"/>
              </w:rPr>
              <w:t>May 7, 2026</w:t>
            </w:r>
          </w:p>
        </w:tc>
        <w:tc>
          <w:tcPr>
            <w:tcW w:type="dxa" w:w="1440"/>
          </w:tcPr>
          <w:p>
            <w:r>
              <w:rPr>
                <w:rFonts w:ascii="Calibri" w:hAnsi="Calibri"/>
                <w:sz w:val="22"/>
              </w:rPr>
              <w:t>Routine RSU vest; tax withholding (code F) is obligation-driven, not discretionary sale</w:t>
            </w:r>
          </w:p>
        </w:tc>
      </w:tr>
      <w:tr>
        <w:tc>
          <w:tcPr>
            <w:tcW w:type="dxa" w:w="1440"/>
          </w:tcPr>
          <w:p>
            <w:r>
              <w:rPr>
                <w:rFonts w:ascii="Calibri" w:hAnsi="Calibri"/>
                <w:sz w:val="22"/>
              </w:rPr>
              <w:t>Gill Charest, Katherine</w:t>
            </w:r>
          </w:p>
        </w:tc>
        <w:tc>
          <w:tcPr>
            <w:tcW w:type="dxa" w:w="1440"/>
          </w:tcPr>
          <w:p>
            <w:r>
              <w:rPr>
                <w:rFonts w:ascii="Calibri" w:hAnsi="Calibri"/>
                <w:sz w:val="22"/>
              </w:rPr>
              <w:t>EVP, Controller &amp; CAO</w:t>
            </w:r>
          </w:p>
        </w:tc>
        <w:tc>
          <w:tcPr>
            <w:tcW w:type="dxa" w:w="1440"/>
          </w:tcPr>
          <w:p>
            <w:r>
              <w:rPr>
                <w:rFonts w:ascii="Calibri" w:hAnsi="Calibri"/>
                <w:sz w:val="22"/>
              </w:rPr>
              <w:t>Tax Withholding</w:t>
            </w:r>
          </w:p>
        </w:tc>
        <w:tc>
          <w:tcPr>
            <w:tcW w:type="dxa" w:w="1440"/>
          </w:tcPr>
          <w:p>
            <w:r>
              <w:rPr>
                <w:rFonts w:ascii="Calibri" w:hAnsi="Calibri"/>
                <w:sz w:val="22"/>
              </w:rPr>
              <w:t>4,069 withheld for taxes</w:t>
            </w:r>
          </w:p>
        </w:tc>
        <w:tc>
          <w:tcPr>
            <w:tcW w:type="dxa" w:w="1440"/>
          </w:tcPr>
          <w:p>
            <w:r>
              <w:rPr>
                <w:rFonts w:ascii="Calibri" w:hAnsi="Calibri"/>
                <w:sz w:val="22"/>
              </w:rPr>
              <w:t>Jun 2, 2026</w:t>
            </w:r>
          </w:p>
        </w:tc>
        <w:tc>
          <w:tcPr>
            <w:tcW w:type="dxa" w:w="1440"/>
          </w:tcPr>
          <w:p>
            <w:r>
              <w:rPr>
                <w:rFonts w:ascii="Calibri" w:hAnsi="Calibri"/>
                <w:sz w:val="22"/>
              </w:rPr>
              <w:t>Obligation-driven tax withholding; not a discretionary sale</w:t>
            </w:r>
          </w:p>
        </w:tc>
      </w:tr>
    </w:tbl>
    <w:p>
      <w:r>
        <w:rPr>
          <w:rFonts w:ascii="Calibri" w:hAnsi="Calibri"/>
          <w:color w:val="525866"/>
          <w:sz w:val="22"/>
        </w:rPr>
        <w:t>No open-market buys (Form 4 code P) or open-market sales (code S) were recorded in the period. All transactions are RSU vests (code M) and associated tax withholdings (code F), which are non-discretionary. No 10b5-1 plan initiations were disclosed. The absence of open-market buying by the CEO and CFO despite a ~28% stock decline is worth monitoring but is likely explained by trading restrictions during the pending WBD merger process.</w:t>
      </w:r>
    </w:p>
    <w:p>
      <w:r>
        <w:rPr>
          <w:rFonts w:ascii="Calibri" w:hAnsi="Calibri"/>
          <w:i/>
          <w:color w:val="525866"/>
          <w:sz w:val="22"/>
        </w:rPr>
        <w:t>Source: SEC Form 4 filings (Insider Transaction Data, SEC EDGAR). Filing dates: May 11, June 4–8, July 7, July 17, July 23,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