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sx-earnings-predictions--2026-08-05"/>
    <w:p>
      <w:pPr>
        <w:pStyle w:val="Heading1"/>
      </w:pPr>
      <w:r>
        <w:t xml:space="preserve">PSX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(FADE)</w:t>
            </w:r>
          </w:p>
        </w:tc>
        <w:tc>
          <w:tcPr/>
          <w:p>
            <w:pPr>
              <w:pStyle w:val="Compact"/>
            </w:pPr>
            <w:r>
              <w:t xml:space="preserve">Even with a clear EPS/refining beat, the setup mirrors MPC/VLO, which sold off ~3% on blowout prints (Aug 3) as the S&amp;P rose — classic sell-the-news after a ~58% YTD run into a July 21 high. The Iran-Oman Hormuz-reopening talks reframe the margin super-cycle as peaking, so sell-side out-period (Q3/Q4/2026) crack and capture assumptions get trimmed even after a big Q2. Combined with a pre-arranged insider sale and political 'windfall' pressure, the beat is largely priced; residual drifts further negative as forward estimates are cut, partially cushioned by real deleveraging progress.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2026-08-05T00:49:59Z</dcterms:created>
  <dcterms:modified xsi:type="dcterms:W3CDTF">2026-08-05T00:49:59Z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