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PSX before writing the preview. Let me start by gathering recent filings, transcripts, and news.Let me read the most recent earnings materials and gather more context.This is a rich, unusual macro backdrop (Middle East crisis / Strait of Hormuz closure driving elevated margins). Let me gather the YoY comparison quarter, recent news, and stock price action.Let me pull recent energy/macro topic news to characterize the margin backdrop heading into the print.I now have a comprehensive picture. Let me verify a couple of stock-performance figures before writing.Here is the earnings preview.</w:t>
      </w:r>
    </w:p>
    <w:p>
      <w:r>
        <w:pict>
          <v:rect style="width:0;height:1.5pt" o:hralign="center" o:hrstd="t" o:hr="t"/>
        </w:pict>
      </w:r>
    </w:p>
    <w:bookmarkStart w:id="19" w:name="Xfdf968e60337f9f0124823f1854f968a8d377b2"/>
    <w:p>
      <w:pPr>
        <w:pStyle w:val="Heading1"/>
      </w:pPr>
      <w:r>
        <w:t xml:space="preserve">Phillips 66 (PSX) — Q2 2026 Earnings Preview</w:t>
      </w:r>
    </w:p>
    <w:bookmarkStart w:id="9" w:name="X150debdf30d41b7aa60d31a3b4a89ef928fd723"/>
    <w:p>
      <w:pPr>
        <w:pStyle w:val="Heading3"/>
      </w:pPr>
      <w:r>
        <w:t xml:space="preserve">Reports before market open, Wednesday, August 5, 2026 · Conference call at noon ET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PSX heads into this print riding the most extraordinary refining tape in years. A months-long, war-driven disruption of Middle East supply — including the effective closure of the Strait of Hormuz — has blown out global refining and petrochemical margins, and PSX's overwhelmingly U.S.-based footprint is a direct beneficiary. The stock reflects it: PSX is up ~58% year-to-date to ~</w:t>
      </w:r>
      <m:oMath>
        <m:r>
          <m:t>206</m:t>
        </m:r>
        <m:r>
          <m:rPr>
            <m:sty m:val="p"/>
          </m:rPr>
          <m:t>,</m:t>
        </m:r>
        <m:r>
          <m:t>s</m:t>
        </m:r>
        <m:r>
          <m:t>i</m:t>
        </m:r>
        <m:r>
          <m:t>t</m:t>
        </m:r>
        <m:r>
          <m:t>t</m:t>
        </m:r>
        <m:r>
          <m:t>i</m:t>
        </m:r>
        <m:r>
          <m:t>n</m:t>
        </m:r>
        <m:r>
          <m:t>g</m:t>
        </m:r>
        <m:r>
          <m:t> </m:t>
        </m:r>
        <m:r>
          <m:t>3</m:t>
        </m:r>
      </m:oMath>
      <w:r>
        <w:t xml:space="preserve">212. Expectations are now very high, so this quarter is less about</w:t>
      </w:r>
      <w:r>
        <w:t xml:space="preserve"> </w:t>
      </w:r>
      <w:r>
        <w:rPr>
          <w:i/>
          <w:iCs/>
        </w:rPr>
        <w:t xml:space="preserve">whether</w:t>
      </w:r>
      <w:r>
        <w:t xml:space="preserve"> </w:t>
      </w:r>
      <w:r>
        <w:t xml:space="preserve">numbers are strong and more about</w:t>
      </w:r>
      <w:r>
        <w:t xml:space="preserve"> </w:t>
      </w:r>
      <w:r>
        <w:rPr>
          <w:i/>
          <w:iCs/>
        </w:rPr>
        <w:t xml:space="preserve">how</w:t>
      </w:r>
      <w:r>
        <w:t xml:space="preserve"> </w:t>
      </w:r>
      <w:r>
        <w:t xml:space="preserve">strong, how durable, and how fast the balance sheet heals.</w:t>
      </w:r>
    </w:p>
    <w:p>
      <w:r>
        <w:pict>
          <v:rect style="width:0;height:1.5pt" o:hralign="center" o:hrstd="t" o:hr="t"/>
        </w:pict>
      </w:r>
    </w:p>
    <w:bookmarkEnd w:id="10"/>
    <w:bookmarkStart w:id="11" w:name="Xa990fd797ff2886708fe04fa52cb397858c8ac5"/>
    <w:p>
      <w:pPr>
        <w:pStyle w:val="Heading2"/>
      </w:pPr>
      <w:r>
        <w:t xml:space="preserve">1. Why this quarter matters — the macro backdrop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genuine margin super-cycle.</w:t>
      </w:r>
      <w:r>
        <w:t xml:space="preserve"> </w:t>
      </w:r>
      <w:r>
        <w:t xml:space="preserve">The war with Iran disrupted crude flows through the Strait of Hormuz (which normally carries ~20% of the world's oil and gas), took a chunk of global refining/petrochemical capacity offline, and drew down inventories. This has structurally lifted product cracks.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Peer read-through is loud and positive.</w:t>
      </w:r>
      <w:r>
        <w:t xml:space="preserve"> </w:t>
      </w:r>
      <w:r>
        <w:t xml:space="preserve">Marathon (MPC) just posted</w:t>
      </w:r>
      <w:r>
        <w:t xml:space="preserve"> </w:t>
      </w:r>
      <w:r>
        <w:rPr>
          <w:b/>
          <w:bCs/>
        </w:rPr>
        <w:t xml:space="preserve">$17.73 EPS vs.</w:t>
      </w:r>
      <w:r>
        <w:rPr>
          <w:b/>
          <w:bCs/>
        </w:rPr>
        <w:t xml:space="preserve"> </w:t>
      </w:r>
      <w:r>
        <w:rPr>
          <w:b/>
          <w:bCs/>
        </w:rPr>
        <w:t xml:space="preserve">$13.73 consensus**, with its refining &amp; marketing margin jumping to **$</w:t>
      </w:r>
      <w:r>
        <w:rPr>
          <w:b/>
          <w:bCs/>
        </w:rPr>
        <w:t xml:space="preserve">36.33/bbl from $17.58 a year ago</w:t>
      </w:r>
      <w:r>
        <w:t xml:space="preserve"> </w:t>
      </w:r>
      <w:r>
        <w:t xml:space="preserve">— explicitly attributed to the Iran/Hormuz supply shock. Exxon and Chevron reported their highest profits in years; Suncor and S-Oil beat, with S-Oil guiding to firm Q3 margins on low product inventories. This is a strong tailwind for PSX's refining-heavy print.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timing wrinkle.</w:t>
      </w:r>
      <w:r>
        <w:t xml:space="preserve"> </w:t>
      </w:r>
      <w:r>
        <w:t xml:space="preserve">As of this week, Iran and Oman are reportedly working toward a deal to reopen Hormuz, and Trump has paused new strikes pending talks. The near-term margin windfall is intact for Q2, but the</w:t>
      </w:r>
      <w:r>
        <w:t xml:space="preserve"> </w:t>
      </w:r>
      <w:r>
        <w:rPr>
          <w:i/>
          <w:iCs/>
        </w:rPr>
        <w:t xml:space="preserve">duration debate</w:t>
      </w:r>
      <w:r>
        <w:t xml:space="preserve"> </w:t>
      </w:r>
      <w:r>
        <w:t xml:space="preserve">is now front-and-center — the reopening headlines could cap the stock even on a strong number.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Political overhang.</w:t>
      </w:r>
      <w:r>
        <w:t xml:space="preserve"> </w:t>
      </w:r>
      <w:r>
        <w:t xml:space="preserve">With gas prices above $4/gallon, the administration is publicly pressuring refiners (Trump attacked Chevron's CEO over "too much money"). Watch for management to be careful in how it frames "windfall" profits.</w:t>
      </w:r>
    </w:p>
    <w:p>
      <w:r>
        <w:pict>
          <v:rect style="width:0;height:1.5pt" o:hralign="center" o:hrstd="t" o:hr="t"/>
        </w:pict>
      </w:r>
    </w:p>
    <w:bookmarkEnd w:id="11"/>
    <w:bookmarkStart w:id="12" w:name="Xd49abdc660d0a0e3e8c284b10616d4bdf5e127d"/>
    <w:p>
      <w:pPr>
        <w:pStyle w:val="Heading2"/>
      </w:pPr>
      <w:r>
        <w:t xml:space="preserve">2. What management already guided for Q2 (from the April call)</w:t>
      </w:r>
    </w:p>
    <w:p>
      <w:pPr>
        <w:pStyle w:val="FirstParagraph"/>
      </w:pPr>
      <w:r>
        <w:t xml:space="preserve">On the Q1 call, PSX gave the following Q2 markers: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Refining crude utilization:</w:t>
      </w:r>
      <w:r>
        <w:t xml:space="preserve"> </w:t>
      </w:r>
      <w:r>
        <w:t xml:space="preserve">low-to-mid 90s%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Refining turnaround expense:</w:t>
      </w:r>
      <w:r>
        <w:t xml:space="preserve"> </w:t>
      </w:r>
      <w:r>
        <w:t xml:space="preserve">$120–150M (down from $178M in Q1)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Chemicals global O&amp;P utilization:</w:t>
      </w:r>
      <w:r>
        <w:t xml:space="preserve"> </w:t>
      </w:r>
      <w:r>
        <w:t xml:space="preserve">low-80s% — deliberately</w:t>
      </w:r>
      <w:r>
        <w:t xml:space="preserve"> </w:t>
      </w:r>
      <w:r>
        <w:rPr>
          <w:i/>
          <w:iCs/>
        </w:rPr>
        <w:t xml:space="preserve">lower</w:t>
      </w:r>
      <w:r>
        <w:t xml:space="preserve"> </w:t>
      </w:r>
      <w:r>
        <w:t xml:space="preserve">than Q1's 94%, reflecting downtime at CPChem's Middle East JVs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Corporate &amp; Other costs:</w:t>
      </w:r>
      <w:r>
        <w:t xml:space="preserve"> </w:t>
      </w:r>
      <w:r>
        <w:t xml:space="preserve">$430–450M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Refining market capture:</w:t>
      </w:r>
      <w:r>
        <w:t xml:space="preserve"> </w:t>
      </w:r>
      <w:r>
        <w:t xml:space="preserve">"start with mid-90s%" and adjust for market conditions (vs. a remarkable 138% worldwide capture in Q1)</w:t>
      </w:r>
    </w:p>
    <w:p>
      <w:r>
        <w:pict>
          <v:rect style="width:0;height:1.5pt" o:hralign="center" o:hrstd="t" o:hr="t"/>
        </w:pict>
      </w:r>
    </w:p>
    <w:bookmarkEnd w:id="12"/>
    <w:bookmarkStart w:id="13" w:name="X63ddcf003efbeec3530048507b13decbb6fc25b"/>
    <w:p>
      <w:pPr>
        <w:pStyle w:val="Heading2"/>
      </w:pPr>
      <w:r>
        <w:t xml:space="preserve">3. The single biggest swing factor: the mark-to-market reversal</w:t>
      </w:r>
    </w:p>
    <w:p>
      <w:pPr>
        <w:pStyle w:val="FirstParagraph"/>
      </w:pPr>
      <w:r>
        <w:t xml:space="preserve">Q1 was</w:t>
      </w:r>
      <w:r>
        <w:t xml:space="preserve"> </w:t>
      </w:r>
      <w:r>
        <w:rPr>
          <w:i/>
          <w:iCs/>
        </w:rPr>
        <w:t xml:space="preserve">depressed</w:t>
      </w:r>
      <w:r>
        <w:t xml:space="preserve"> </w:t>
      </w:r>
      <w:r>
        <w:t xml:space="preserve">by an **</w:t>
      </w:r>
      <m:oMath>
        <m:r>
          <m:t>839</m:t>
        </m:r>
        <m:r>
          <m:t>M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t</m:t>
        </m:r>
        <m:r>
          <m:t>a</m:t>
        </m:r>
        <m:r>
          <m:t>x</m:t>
        </m:r>
        <m:r>
          <m:t>m</m:t>
        </m:r>
        <m:r>
          <m:t>a</m:t>
        </m:r>
        <m:r>
          <m:t>r</m:t>
        </m:r>
        <m:r>
          <m:t>k</m:t>
        </m:r>
        <m:r>
          <m:rPr>
            <m:sty m:val="p"/>
          </m:rPr>
          <m:t>−</m:t>
        </m:r>
        <m:r>
          <m:t>t</m:t>
        </m:r>
        <m:r>
          <m:t>o</m:t>
        </m:r>
        <m:r>
          <m:rPr>
            <m:sty m:val="p"/>
          </m:rPr>
          <m:t>−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l</m:t>
        </m:r>
        <m:r>
          <m:t>o</m:t>
        </m:r>
        <m:r>
          <m:t>s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s</m:t>
        </m:r>
        <m:r>
          <m:t>h</m:t>
        </m:r>
        <m:r>
          <m:t>o</m:t>
        </m:r>
        <m:r>
          <m:t>r</m:t>
        </m:r>
        <m:r>
          <m:t>t</m:t>
        </m:r>
        <m:r>
          <m:t>d</m:t>
        </m:r>
        <m:r>
          <m:t>e</m:t>
        </m:r>
        <m:r>
          <m:t>r</m:t>
        </m:r>
        <m:r>
          <m:t>i</m:t>
        </m:r>
        <m:r>
          <m:t>v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h</m:t>
        </m:r>
        <m:r>
          <m:t>e</m:t>
        </m:r>
        <m:r>
          <m:t>d</m:t>
        </m:r>
        <m:r>
          <m:t>g</m:t>
        </m:r>
        <m:r>
          <m:t>e</m:t>
        </m:r>
        <m:r>
          <m:t>s</m:t>
        </m:r>
        <m:r>
          <m:rPr>
            <m:sty m:val="p"/>
          </m:rPr>
          <m:t>(</m:t>
        </m:r>
        <m:r>
          <m:t>R</m:t>
        </m:r>
        <m:r>
          <m:t>e</m:t>
        </m:r>
        <m:r>
          <m:t>f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</m:oMath>
      <w:r>
        <w:t xml:space="preserve">396M, M&amp;S −</w:t>
      </w:r>
      <m:oMath>
        <m:r>
          <m:t>323</m:t>
        </m:r>
        <m:r>
          <m:t>M</m:t>
        </m:r>
        <m:r>
          <m:rPr>
            <m:sty m:val="p"/>
          </m:rPr>
          <m:t>,</m:t>
        </m:r>
        <m:r>
          <m:t>R</m:t>
        </m:r>
        <m:r>
          <m:t>e</m:t>
        </m:r>
        <m:r>
          <m:t>n</m:t>
        </m:r>
        <m:r>
          <m:t>e</m:t>
        </m:r>
        <m:r>
          <m:t>w</m:t>
        </m:r>
        <m:r>
          <m:t>a</m:t>
        </m:r>
        <m:r>
          <m:t>b</m:t>
        </m:r>
        <m:r>
          <m:t>l</m:t>
        </m:r>
        <m:r>
          <m:t>e</m:t>
        </m:r>
        <m:r>
          <m:t>s</m:t>
        </m:r>
        <m:r>
          <m:rPr>
            <m:sty m:val="p"/>
          </m:rPr>
          <m:t>−</m:t>
        </m:r>
      </m:oMath>
      <w:r>
        <w:t xml:space="preserve">120M) as commodity prices spiked — paper losses against physical inventory carried at LIFO. This is the key reason Q1 adjusted EPS was only</w:t>
      </w:r>
      <w:r>
        <w:t xml:space="preserve"> </w:t>
      </w:r>
      <w:r>
        <w:rPr>
          <w:b/>
          <w:bCs/>
        </w:rPr>
        <w:t xml:space="preserve">$0.49</w:t>
      </w:r>
      <w:r>
        <w:t xml:space="preserve">.</w:t>
      </w:r>
    </w:p>
    <w:p>
      <w:pPr>
        <w:pStyle w:val="BodyText"/>
      </w:pPr>
      <w:r>
        <w:t xml:space="preserve">Management said that, using the forward curve, roughly **$500M of that</w:t>
      </w:r>
      <w:r>
        <w:t xml:space="preserve"> </w:t>
      </w:r>
      <m:oMath>
        <m:r>
          <m:t>839</m:t>
        </m:r>
        <m:r>
          <m:t>M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b</m:t>
        </m:r>
        <m:r>
          <m:t>y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e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o</m:t>
        </m:r>
        <m:r>
          <m:t>n</m:t>
        </m:r>
        <m:r>
          <m:t>a</m:t>
        </m:r>
        <m:r>
          <m:t>c</m:t>
        </m:r>
        <m:r>
          <m:t>o</m:t>
        </m:r>
        <m:r>
          <m:t>m</m:t>
        </m:r>
        <m:r>
          <m:t>m</m:t>
        </m:r>
        <m:r>
          <m:t>o</m:t>
        </m:r>
        <m:r>
          <m:t>d</m:t>
        </m:r>
        <m:r>
          <m:t>i</m:t>
        </m:r>
        <m:r>
          <m:t>t</m:t>
        </m:r>
        <m:r>
          <m:t>y</m:t>
        </m:r>
        <m:r>
          <m:rPr>
            <m:sty m:val="p"/>
          </m:rPr>
          <m:t>−</m:t>
        </m:r>
        <m:r>
          <m:t>b</m:t>
        </m:r>
        <m:r>
          <m:t>y</m:t>
        </m:r>
        <m:r>
          <m:rPr>
            <m:sty m:val="p"/>
          </m:rPr>
          <m:t>−</m:t>
        </m:r>
        <m:r>
          <m:t>c</m:t>
        </m:r>
        <m:r>
          <m:t>o</m:t>
        </m:r>
        <m:r>
          <m:t>m</m:t>
        </m:r>
        <m:r>
          <m:t>m</m:t>
        </m:r>
        <m:r>
          <m:t>o</m:t>
        </m:r>
        <m:r>
          <m:t>d</m:t>
        </m:r>
        <m:r>
          <m:t>i</m:t>
        </m:r>
        <m:r>
          <m:t>t</m:t>
        </m:r>
        <m:r>
          <m:t>y</m:t>
        </m:r>
        <m:r>
          <m:rPr>
            <m:sty m:val="p"/>
          </m:rPr>
          <m:t>,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−</m:t>
        </m:r>
        <m:r>
          <m:t>b</m:t>
        </m:r>
        <m:r>
          <m:t>y</m:t>
        </m:r>
        <m:r>
          <m:rPr>
            <m:sty m:val="p"/>
          </m:rPr>
          <m:t>−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b</m:t>
        </m:r>
        <m:r>
          <m:t>a</m:t>
        </m:r>
        <m:r>
          <m:t>s</m:t>
        </m:r>
        <m:r>
          <m:t>i</m:t>
        </m:r>
        <m:r>
          <m:t>s</m:t>
        </m:r>
        <m:r>
          <m:rPr>
            <m:sty m:val="p"/>
          </m:rPr>
          <m:t>.</m:t>
        </m:r>
        <m:r>
          <m:t>A</m:t>
        </m:r>
        <m:r>
          <m:t>s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s</m:t>
        </m:r>
        <m:r>
          <m:t>s</m:t>
        </m:r>
        <m:r>
          <m:t>t</m:t>
        </m:r>
        <m:r>
          <m:t>a</m:t>
        </m:r>
        <m:r>
          <m:t>b</m:t>
        </m:r>
        <m:r>
          <m:t>i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(</m:t>
        </m:r>
        <m:r>
          <m:t>c</m:t>
        </m:r>
        <m:r>
          <m:t>r</m:t>
        </m:r>
        <m:r>
          <m:t>u</m:t>
        </m:r>
        <m:r>
          <m:t>d</m:t>
        </m:r>
        <m:r>
          <m:t>e</m:t>
        </m:r>
        <m:r>
          <m:t>t</m:t>
        </m:r>
        <m:r>
          <m:t>r</m:t>
        </m:r>
        <m:r>
          <m:t>a</m:t>
        </m:r>
        <m:r>
          <m:t>d</m:t>
        </m:r>
        <m:r>
          <m:t>e</m:t>
        </m:r>
        <m:r>
          <m:t>d</m:t>
        </m:r>
        <m:r>
          <m:t>i</m:t>
        </m:r>
        <m:r>
          <m:t>n</m:t>
        </m:r>
        <m:r>
          <m:t>a</m:t>
        </m:r>
        <m:r>
          <m:t> </m:t>
        </m:r>
      </m:oMath>
      <w:r>
        <w:t xml:space="preserve">90–110 band), some of that reversal should flow back through Refining, M&amp;S, and Renewables — a potential</w:t>
      </w:r>
      <w:r>
        <w:t xml:space="preserve"> </w:t>
      </w:r>
      <w:r>
        <w:rPr>
          <w:i/>
          <w:iCs/>
        </w:rPr>
        <w:t xml:space="preserve">earnings tailwind</w:t>
      </w:r>
      <w:r>
        <w:t xml:space="preserve"> </w:t>
      </w:r>
      <w:r>
        <w:t xml:space="preserve">on top of the strong underlying cracks.</w:t>
      </w:r>
      <w:r>
        <w:t xml:space="preserve"> </w:t>
      </w:r>
      <w:r>
        <w:rPr>
          <w:b/>
          <w:bCs/>
        </w:rPr>
        <w:t xml:space="preserve">How much reverses in Q2 is a material variable in the headline number</w:t>
      </w:r>
      <w:r>
        <w:t xml:space="preserve"> </w:t>
      </w:r>
      <w:r>
        <w:t xml:space="preserve">and a likely focus of Q&amp;A.</w:t>
      </w:r>
    </w:p>
    <w:p>
      <w:r>
        <w:pict>
          <v:rect style="width:0;height:1.5pt" o:hralign="center" o:hrstd="t" o:hr="t"/>
        </w:pict>
      </w:r>
    </w:p>
    <w:bookmarkEnd w:id="13"/>
    <w:bookmarkStart w:id="14" w:name="Xd0a05ffb6b3ee62788d8318e72eecdd852210ac"/>
    <w:p>
      <w:pPr>
        <w:pStyle w:val="Heading2"/>
      </w:pPr>
      <w:r>
        <w:t xml:space="preserve">4. Segment-by-segment watch list</w:t>
      </w:r>
    </w:p>
    <w:p>
      <w:pPr>
        <w:pStyle w:val="FirstParagraph"/>
      </w:pPr>
      <w:r>
        <w:rPr>
          <w:b/>
          <w:bCs/>
        </w:rPr>
        <w:t xml:space="preserve">Refining (the swing engine).</w:t>
      </w:r>
      <w:r>
        <w:t xml:space="preserve"> </w:t>
      </w:r>
      <w:r>
        <w:t xml:space="preserve">Strong cracks + reduced turnarounds + possible MtM reversal should drive a large sequential and YoY jump (Q1 adjusted pre-tax was just $208M; Q2 2025 was $392M). Key watch items: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Market capture</w:t>
      </w:r>
      <w:r>
        <w:t xml:space="preserve"> </w:t>
      </w:r>
      <w:r>
        <w:t xml:space="preserve">— Q1's commercial machine (Jones Act moves, pre-booked time charters, jet/octane diffs) drove 138%; a repeat well above "mid-90s" would be a positive surprise.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WCS discounts</w:t>
      </w:r>
      <w:r>
        <w:t xml:space="preserve"> </w:t>
      </w:r>
      <w:r>
        <w:t xml:space="preserve">— WTI-WCS blew out to ~</w:t>
      </w:r>
      <m:oMath>
        <m:r>
          <m:t>18</m:t>
        </m:r>
        <m:r>
          <m:rPr>
            <m:sty m:val="p"/>
          </m:rPr>
          <m:t>.</m:t>
        </m:r>
        <m:r>
          <m:t>P</m:t>
        </m:r>
        <m:r>
          <m:t>S</m:t>
        </m:r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  <m:r>
          <m:t>C</m:t>
        </m:r>
        <m:r>
          <m:t>o</m:t>
        </m:r>
        <m:r>
          <m:t>n</m:t>
        </m:r>
        <m:r>
          <m:rPr>
            <m:sty m:val="p"/>
          </m:rPr>
          <m:t>/</m:t>
        </m:r>
        <m:r>
          <m:t>p</m:t>
        </m:r>
        <m:r>
          <m:t>i</m:t>
        </m:r>
        <m:r>
          <m:t>p</m:t>
        </m:r>
        <m:r>
          <m:t>e</m:t>
        </m:r>
        <m:r>
          <m:t>l</m:t>
        </m:r>
        <m:r>
          <m:t>i</m:t>
        </m:r>
        <m:r>
          <m:t>n</m:t>
        </m:r>
        <m:r>
          <m:t>e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g</m:t>
        </m:r>
        <m:r>
          <m:t>i</m:t>
        </m:r>
        <m:r>
          <m:t>v</m:t>
        </m:r>
        <m:r>
          <m:t>e</m:t>
        </m:r>
        <m:r>
          <m:t>s</m:t>
        </m:r>
        <m:r>
          <m:t>i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140M of incremental earnings per $1 of wider diff** — a powerful, under-appreciated lever.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Cost progress</w:t>
      </w:r>
      <w:r>
        <w:t xml:space="preserve"> </w:t>
      </w:r>
      <w:r>
        <w:t xml:space="preserve">— Q1 cost/bbl was</w:t>
      </w:r>
      <w:r>
        <w:t xml:space="preserve"> </w:t>
      </w:r>
      <m:oMath>
        <m:r>
          <m:t>6.21</m:t>
        </m:r>
        <m:r>
          <m:rPr>
            <m:sty m:val="p"/>
          </m:rPr>
          <m:t>(</m:t>
        </m:r>
      </m:oMath>
      <w:r>
        <w:t xml:space="preserve">5.80s normalized), tracking toward the</w:t>
      </w:r>
      <w:r>
        <w:t xml:space="preserve"> </w:t>
      </w:r>
      <w:r>
        <w:rPr>
          <w:b/>
          <w:bCs/>
        </w:rPr>
        <w:t xml:space="preserve">$5.50/bbl 2027 target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Chemicals (CPChem).</w:t>
      </w:r>
      <w:r>
        <w:t xml:space="preserve"> </w:t>
      </w:r>
      <w:r>
        <w:t xml:space="preserve">Margins are tightening sharply (advantaged U.S. Gulf Coast ethane vs. rising global naphtha; loss of China's discounted-crude advantage). But</w:t>
      </w:r>
      <w:r>
        <w:t xml:space="preserve"> </w:t>
      </w:r>
      <w:r>
        <w:rPr>
          <w:b/>
          <w:bCs/>
        </w:rPr>
        <w:t xml:space="preserve">utilization guided to low-80s</w:t>
      </w:r>
      <w:r>
        <w:t xml:space="preserve"> </w:t>
      </w:r>
      <w:r>
        <w:t xml:space="preserve">on ME JV downtime, so watch the volume-vs.-margin trade-off.</w:t>
      </w:r>
    </w:p>
    <w:p>
      <w:pPr>
        <w:pStyle w:val="BodyText"/>
      </w:pPr>
      <w:r>
        <w:rPr>
          <w:b/>
          <w:bCs/>
        </w:rPr>
        <w:t xml:space="preserve">Renewable Fuels (potential YoY inflection).</w:t>
      </w:r>
      <w:r>
        <w:t xml:space="preserve"> </w:t>
      </w:r>
      <w:r>
        <w:t xml:space="preserve">RIN values are running</w:t>
      </w:r>
      <w:r>
        <w:t xml:space="preserve"> </w:t>
      </w:r>
      <w:r>
        <w:rPr>
          <w:b/>
          <w:bCs/>
        </w:rPr>
        <w:t xml:space="preserve">more than double 2025 levels</w:t>
      </w:r>
      <w:r>
        <w:t xml:space="preserve"> </w:t>
      </w:r>
      <w:r>
        <w:t xml:space="preserve">and the Rodeo plant is running</w:t>
      </w:r>
      <w:r>
        <w:t xml:space="preserve"> </w:t>
      </w:r>
      <w:r>
        <w:rPr>
          <w:b/>
          <w:bCs/>
        </w:rPr>
        <w:t xml:space="preserve">above nameplate</w:t>
      </w:r>
      <w:r>
        <w:t xml:space="preserve">. After a string of losses, this segment could show a material free-cash-flow swing — a possible under-the-radar bright spot.</w:t>
      </w:r>
    </w:p>
    <w:p>
      <w:pPr>
        <w:pStyle w:val="BodyText"/>
      </w:pPr>
      <w:r>
        <w:rPr>
          <w:b/>
          <w:bCs/>
        </w:rPr>
        <w:t xml:space="preserve">Midstream (the ballast).</w:t>
      </w:r>
      <w:r>
        <w:t xml:space="preserve"> </w:t>
      </w:r>
      <w:r>
        <w:t xml:space="preserve">Steady, fee-based; reaffirmed</w:t>
      </w:r>
      <w:r>
        <w:t xml:space="preserve"> </w:t>
      </w:r>
      <w:r>
        <w:rPr>
          <w:b/>
          <w:bCs/>
        </w:rPr>
        <w:t xml:space="preserve">$4.5B EBITDA target by 2027</w:t>
      </w:r>
      <w:r>
        <w:t xml:space="preserve">. Watch DJ Basin record volumes, LPG export strength (Freeport), and any commentary on associated-gas growth feeding Sweeny.</w:t>
      </w:r>
    </w:p>
    <w:p>
      <w:pPr>
        <w:pStyle w:val="BodyText"/>
      </w:pPr>
      <w:r>
        <w:rPr>
          <w:b/>
          <w:bCs/>
        </w:rPr>
        <w:t xml:space="preserve">Marketing &amp; Specialties.</w:t>
      </w:r>
      <w:r>
        <w:t xml:space="preserve"> </w:t>
      </w:r>
      <w:r>
        <w:t xml:space="preserve">Q1 loss was almost entirely MtM-driven; a reversal plus summer driving demand should restore this to solidly positive.</w:t>
      </w:r>
    </w:p>
    <w:p>
      <w:r>
        <w:pict>
          <v:rect style="width:0;height:1.5pt" o:hralign="center" o:hrstd="t" o:hr="t"/>
        </w:pict>
      </w:r>
    </w:p>
    <w:bookmarkEnd w:id="14"/>
    <w:bookmarkStart w:id="15" w:name="X2940733a41d7498e26acb2ad347759b1e6af248"/>
    <w:p>
      <w:pPr>
        <w:pStyle w:val="Heading2"/>
      </w:pPr>
      <w:r>
        <w:t xml:space="preserve">5. The crux for the stock: balance sheet &amp; capital returns</w:t>
      </w:r>
    </w:p>
    <w:p>
      <w:pPr>
        <w:pStyle w:val="FirstParagraph"/>
      </w:pPr>
      <w:r>
        <w:t xml:space="preserve">This is where the bull/bear debate really lives: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Debt spiked to $27.1B</w:t>
      </w:r>
      <w:r>
        <w:t xml:space="preserve"> </w:t>
      </w:r>
      <w:r>
        <w:t xml:space="preserve">at end-Q1 (from</w:t>
      </w:r>
      <w:r>
        <w:t xml:space="preserve"> </w:t>
      </w:r>
      <m:oMath>
        <m:r>
          <m:t>19.7</m:t>
        </m:r>
        <m:r>
          <m:t>B</m:t>
        </m:r>
        <m:r>
          <m:t>a</m:t>
        </m:r>
        <m:r>
          <m:t>t</m:t>
        </m:r>
        <m:r>
          <m:t>Y</m:t>
        </m:r>
        <m:r>
          <m:t>E</m:t>
        </m:r>
        <m:r>
          <m:t>2025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n</m:t>
        </m:r>
        <m:r>
          <m:t>e</m:t>
        </m:r>
        <m:r>
          <m:t>t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/</m:t>
        </m:r>
        <m:r>
          <m:t>c</m:t>
        </m:r>
        <m:r>
          <m:t>a</m:t>
        </m:r>
        <m:r>
          <m:t>p</m:t>
        </m:r>
        <m:r>
          <m:t>a</m:t>
        </m:r>
        <m:r>
          <m:t>t</m:t>
        </m:r>
        <m:r>
          <m:t>43</m:t>
        </m:r>
      </m:oMath>
      <w:r>
        <w:t xml:space="preserve">3.2B of margin collateral** during the price spike. By late April that collateral had already fallen to ~$2.1B.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healing path:</w:t>
      </w:r>
      <w:r>
        <w:t xml:space="preserve"> </w:t>
      </w:r>
      <w:r>
        <w:t xml:space="preserve">management expects working-capital reversal (Q1 had a ~</w:t>
      </w:r>
      <m:oMath>
        <m:r>
          <m:t>3</m:t>
        </m:r>
        <m:r>
          <m:t>B</m:t>
        </m:r>
        <m:r>
          <m:t>W</m:t>
        </m:r>
        <m:r>
          <m:t>C</m:t>
        </m:r>
        <m:r>
          <m:t>d</m:t>
        </m:r>
        <m:r>
          <m:t>r</m:t>
        </m:r>
        <m:r>
          <m:t>a</m:t>
        </m:r>
        <m:r>
          <m:t>g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d</m:t>
        </m:r>
        <m:r>
          <m:t>r</m:t>
        </m:r>
        <m:r>
          <m:t>a</m:t>
        </m:r>
        <m:r>
          <m:t>w</m:t>
        </m:r>
        <m:r>
          <m:t>d</m:t>
        </m:r>
        <m:r>
          <m:t>o</m:t>
        </m:r>
        <m:r>
          <m:t>w</m:t>
        </m:r>
        <m:r>
          <m:t>n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e</m:t>
        </m:r>
        <m:r>
          <m:t>l</m:t>
        </m:r>
        <m:r>
          <m:t>e</m:t>
        </m:r>
        <m:r>
          <m:t>v</m:t>
        </m:r>
        <m:r>
          <m:t>a</m:t>
        </m:r>
        <m:r>
          <m:t>t</m:t>
        </m:r>
        <m:r>
          <m:t>e</m:t>
        </m:r>
        <m:r>
          <m:t>d</m:t>
        </m:r>
        <m:r>
          <m:t>c</m:t>
        </m:r>
        <m:r>
          <m:t>a</m:t>
        </m:r>
        <m:r>
          <m:t>s</m:t>
        </m:r>
        <m:r>
          <m:t>h</m:t>
        </m:r>
        <m:r>
          <m:t>b</m:t>
        </m:r>
        <m:r>
          <m:t>a</m:t>
        </m:r>
        <m:r>
          <m:t>l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(</m:t>
        </m:r>
      </m:oMath>
      <w:r>
        <w:t xml:space="preserve">5.2B) to cut debt to **~</w:t>
      </w:r>
      <m:oMath>
        <m:r>
          <m:t>19</m:t>
        </m:r>
        <m:r>
          <m:t>B</m:t>
        </m:r>
        <m:r>
          <m:t>b</m:t>
        </m:r>
        <m:r>
          <m:t>y</m:t>
        </m:r>
        <m:r>
          <m:t>Y</m:t>
        </m:r>
        <m:r>
          <m:t>E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17B by YE 2027**. Evidence of that trajectory bending down this quarter is arguably the most important thing in the release.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returns intact:</w:t>
      </w:r>
      <w:r>
        <w:t xml:space="preserve"> </w:t>
      </w:r>
      <w:r>
        <w:t xml:space="preserve">commitment to return</w:t>
      </w:r>
      <w:r>
        <w:t xml:space="preserve"> </w:t>
      </w:r>
      <w:r>
        <w:rPr>
          <w:b/>
          <w:bCs/>
        </w:rPr>
        <w:t xml:space="preserve">&gt;50% of operating cash flow</w:t>
      </w:r>
      <w:r>
        <w:t xml:space="preserve">; the dividend was raised 7% in Q1. With cash generation surging, watch whether buybacks step up (Q1 repurchases were a modest $269M) or whether excess cash is steered toward faster deleveraging — management signaled a "balanced" approach but flagged debt reduction as the priority.</w:t>
      </w:r>
    </w:p>
    <w:p>
      <w:r>
        <w:pict>
          <v:rect style="width:0;height:1.5pt" o:hralign="center" o:hrstd="t" o:hr="t"/>
        </w:pict>
      </w:r>
    </w:p>
    <w:bookmarkEnd w:id="15"/>
    <w:bookmarkStart w:id="16" w:name="Xe007d12757a3eeab637861bba8d9a8171c979f7"/>
    <w:p>
      <w:pPr>
        <w:pStyle w:val="Heading2"/>
      </w:pPr>
      <w:r>
        <w:t xml:space="preserve">6. Strategic catalysts to listen for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Western Gateway Pipeline FID</w:t>
      </w:r>
      <w:r>
        <w:t xml:space="preserve"> </w:t>
      </w:r>
      <w:r>
        <w:t xml:space="preserve">— management targeted</w:t>
      </w:r>
      <w:r>
        <w:t xml:space="preserve"> </w:t>
      </w:r>
      <w:r>
        <w:rPr>
          <w:b/>
          <w:bCs/>
        </w:rPr>
        <w:t xml:space="preserve">mid-to-late summer 2026</w:t>
      </w:r>
      <w:r>
        <w:t xml:space="preserve"> </w:t>
      </w:r>
      <w:r>
        <w:t xml:space="preserve">for a final investment decision (JV with Kinder Morgan; 2029 in-service to Phoenix). This quarter is the window — a formal FID would be a notable catalyst.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Golden Triangle Polymers</w:t>
      </w:r>
      <w:r>
        <w:t xml:space="preserve"> </w:t>
      </w:r>
      <w:r>
        <w:t xml:space="preserve">(Orange, TX) — commissioning expected to begin later in 2026, full ops 2027.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Lindsey Oil Refinery (UK)</w:t>
      </w:r>
      <w:r>
        <w:t xml:space="preserve"> </w:t>
      </w:r>
      <w:r>
        <w:t xml:space="preserve">— acquisition closed April 2026; watch for integration commentary and UK strategy.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Iron Mesa gas plant</w:t>
      </w:r>
      <w:r>
        <w:t xml:space="preserve"> </w:t>
      </w:r>
      <w:r>
        <w:t xml:space="preserve">(300 MMCFD) — on track for Q1 2027 startup.</w:t>
      </w:r>
    </w:p>
    <w:p>
      <w:r>
        <w:pict>
          <v:rect style="width:0;height:1.5pt" o:hralign="center" o:hrstd="t" o:hr="t"/>
        </w:pict>
      </w:r>
    </w:p>
    <w:bookmarkEnd w:id="16"/>
    <w:bookmarkStart w:id="17" w:name="X0fccd419f7ca5718e3d9bf79bcc1903bdb1d154"/>
    <w:p>
      <w:pPr>
        <w:pStyle w:val="Heading2"/>
      </w:pPr>
      <w:r>
        <w:t xml:space="preserve">7. Risks and things that could sour the reaction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Hormuz reopening / margin normalization.</w:t>
      </w:r>
      <w:r>
        <w:t xml:space="preserve"> </w:t>
      </w:r>
      <w:r>
        <w:t xml:space="preserve">The Iran-Oman reopening talks are the key threat to the "margins persist through 2026 into early 2027" thesis. Management's argument is that inventory restocking sustains margins even after the strait reopens — the market will scrutinize this.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 "sell-the-news" setup.</w:t>
      </w:r>
      <w:r>
        <w:t xml:space="preserve"> </w:t>
      </w:r>
      <w:r>
        <w:t xml:space="preserve">With the stock up ~58% YTD and peers already having printed blowouts, even a strong quarter may be priced in.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Political/regulatory pressure</w:t>
      </w:r>
      <w:r>
        <w:t xml:space="preserve"> </w:t>
      </w:r>
      <w:r>
        <w:t xml:space="preserve">on refiner "windfall" profits.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Balance-sheet skepticism.</w:t>
      </w:r>
      <w:r>
        <w:t xml:space="preserve"> </w:t>
      </w:r>
      <w:r>
        <w:t xml:space="preserve">If debt/collateral don't clearly retreat, the leverage overhang persists.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Insider signal:</w:t>
      </w:r>
      <w:r>
        <w:t xml:space="preserve"> </w:t>
      </w:r>
      <w:r>
        <w:t xml:space="preserve">the EVP/General Counsel executed a large planned stock sale in late July — worth noting for sentiment, though it was pre-arranged.</w:t>
      </w:r>
    </w:p>
    <w:p>
      <w:r>
        <w:pict>
          <v:rect style="width:0;height:1.5pt" o:hralign="center" o:hrstd="t" o:hr="t"/>
        </w:pict>
      </w:r>
    </w:p>
    <w:bookmarkEnd w:id="17"/>
    <w:bookmarkStart w:id="18" w:name="bottom-line--scorecard-for-the-print"/>
    <w:p>
      <w:pPr>
        <w:pStyle w:val="Heading2"/>
      </w:pPr>
      <w:r>
        <w:t xml:space="preserve">Bottom line — scorecard for the print</w:t>
      </w:r>
    </w:p>
    <w:p>
      <w:pPr>
        <w:pStyle w:val="FirstParagraph"/>
      </w:pPr>
      <w:r>
        <w:t xml:space="preserve">A blowout headline number looks likely given the margin environment and the MtM reversal tailwind, but the</w:t>
      </w:r>
      <w:r>
        <w:t xml:space="preserve"> </w:t>
      </w:r>
      <w:r>
        <w:rPr>
          <w:i/>
          <w:iCs/>
        </w:rPr>
        <w:t xml:space="preserve">quality</w:t>
      </w:r>
      <w:r>
        <w:t xml:space="preserve"> </w:t>
      </w:r>
      <w:r>
        <w:t xml:space="preserve">of the beat and the</w:t>
      </w:r>
      <w:r>
        <w:t xml:space="preserve"> </w:t>
      </w:r>
      <w:r>
        <w:rPr>
          <w:i/>
          <w:iCs/>
        </w:rPr>
        <w:t xml:space="preserve">balance-sheet trajectory</w:t>
      </w:r>
      <w:r>
        <w:t xml:space="preserve"> </w:t>
      </w:r>
      <w:r>
        <w:t xml:space="preserve">will drive the reaction. Going in, focus 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Watch item</w:t>
            </w:r>
          </w:p>
        </w:tc>
        <w:tc>
          <w:tcPr/>
          <w:p>
            <w:pPr>
              <w:pStyle w:val="Compact"/>
            </w:pPr>
            <w:r>
              <w:t xml:space="preserve">Bullish signal</w:t>
            </w:r>
          </w:p>
        </w:tc>
        <w:tc>
          <w:tcPr/>
          <w:p>
            <w:pPr>
              <w:pStyle w:val="Compact"/>
            </w:pPr>
            <w:r>
              <w:t xml:space="preserve">Bearish signal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Refining capture</w:t>
            </w:r>
          </w:p>
        </w:tc>
        <w:tc>
          <w:tcPr/>
          <w:p>
            <w:pPr>
              <w:pStyle w:val="Compact"/>
            </w:pPr>
            <w:r>
              <w:t xml:space="preserve">Well above "mid-90s," strong WCS capture</w:t>
            </w:r>
          </w:p>
        </w:tc>
        <w:tc>
          <w:tcPr/>
          <w:p>
            <w:pPr>
              <w:pStyle w:val="Compact"/>
            </w:pPr>
            <w:r>
              <w:t xml:space="preserve">Backwardation/inventory drag pulls capture 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MtM reversal</w:t>
            </w:r>
          </w:p>
        </w:tc>
        <w:tc>
          <w:tcPr/>
          <w:p>
            <w:pPr>
              <w:pStyle w:val="Compact"/>
            </w:pPr>
            <w:r>
              <w:t xml:space="preserve">Meaningful chunk of the $839M flows back</w:t>
            </w:r>
          </w:p>
        </w:tc>
        <w:tc>
          <w:tcPr/>
          <w:p>
            <w:pPr>
              <w:pStyle w:val="Compact"/>
            </w:pPr>
            <w:r>
              <w:t xml:space="preserve">Limited reversal, muddier earnings quality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Debt path</w:t>
            </w:r>
          </w:p>
        </w:tc>
        <w:tc>
          <w:tcPr/>
          <w:p>
            <w:pPr>
              <w:pStyle w:val="Compact"/>
            </w:pPr>
            <w:r>
              <w:t xml:space="preserve">Clear move toward $19B YE target</w:t>
            </w:r>
          </w:p>
        </w:tc>
        <w:tc>
          <w:tcPr/>
          <w:p>
            <w:pPr>
              <w:pStyle w:val="Compact"/>
            </w:pPr>
            <w:r>
              <w:t xml:space="preserve">Debt/collateral stays elevated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returns</w:t>
            </w:r>
          </w:p>
        </w:tc>
        <w:tc>
          <w:tcPr/>
          <w:p>
            <w:pPr>
              <w:pStyle w:val="Compact"/>
            </w:pPr>
            <w:r>
              <w:t xml:space="preserve">Buyback step-up alongside dividend</w:t>
            </w:r>
          </w:p>
        </w:tc>
        <w:tc>
          <w:tcPr/>
          <w:p>
            <w:pPr>
              <w:pStyle w:val="Compact"/>
            </w:pPr>
            <w:r>
              <w:t xml:space="preserve">Cash hoarded, ambiguous framework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Margin duration</w:t>
            </w:r>
          </w:p>
        </w:tc>
        <w:tc>
          <w:tcPr/>
          <w:p>
            <w:pPr>
              <w:pStyle w:val="Compact"/>
            </w:pPr>
            <w:r>
              <w:t xml:space="preserve">Confident "persists into 2027" case</w:t>
            </w:r>
          </w:p>
        </w:tc>
        <w:tc>
          <w:tcPr/>
          <w:p>
            <w:pPr>
              <w:pStyle w:val="Compact"/>
            </w:pPr>
            <w:r>
              <w:t xml:space="preserve">Cautious tone as Hormuz reopening nears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Western Gateway</w:t>
            </w:r>
          </w:p>
        </w:tc>
        <w:tc>
          <w:tcPr/>
          <w:p>
            <w:pPr>
              <w:pStyle w:val="Compact"/>
            </w:pPr>
            <w:r>
              <w:t xml:space="preserve">FID announced</w:t>
            </w:r>
          </w:p>
        </w:tc>
        <w:tc>
          <w:tcPr/>
          <w:p>
            <w:pPr>
              <w:pStyle w:val="Compact"/>
            </w:pPr>
            <w:r>
              <w:t xml:space="preserve">Slippage/no decision</w:t>
            </w:r>
          </w:p>
        </w:tc>
      </w:tr>
    </w:tbl>
    <w:p>
      <w:pPr>
        <w:pStyle w:val="BodyText"/>
      </w:pPr>
      <w:r>
        <w:rPr>
          <w:i/>
          <w:iCs/>
        </w:rPr>
        <w:t xml:space="preserve">Note: figures and the macro backdrop above are drawn from PSX's Q1 2026 and Q2 2025 earnings releases and the Q1 2026 call transcript, plus recent market/sector news; consensus-estimate specifics were not independently confirmed here.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2026-08-05T00:49:59Z</dcterms:created>
  <dcterms:modified xsi:type="dcterms:W3CDTF">2026-08-05T00:49:59Z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