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psx-earnings-predictions--2026-08-05"/>
    <w:p>
      <w:pPr>
        <w:pStyle w:val="Heading1"/>
      </w:pPr>
      <w:r>
        <w:t xml:space="preserve">PSX Earnings Predictions — 2026-08-05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PSX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~$9.10 vs. cons $7.68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PSX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Refining Worldwide Market Capture Rate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~115% vs. cons/guide ~95%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PSX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Refining Margin per Barrel ($/bbl)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19.50</m:t>
              </m:r>
              <m:r>
                <m:rPr>
                  <m:sty m:val="p"/>
                </m:rPr>
                <m:t>/</m:t>
              </m:r>
              <m:r>
                <m:t>b</m:t>
              </m:r>
              <m:r>
                <m:t>b</m:t>
              </m:r>
              <m:r>
                <m:t>l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15.00/bbl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PSX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H2/Q3 Refining Margin &amp; Crack Spread Tone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~tone implying</w:t>
            </w:r>
            <w:r>
              <w:t xml:space="preserve"> </w:t>
            </w:r>
            <m:oMath>
              <m:r>
                <m:t>12</m:t>
              </m:r>
              <m:r>
                <m:rPr>
                  <m:sty m:val="p"/>
                </m:rPr>
                <m:t>−</m:t>
              </m:r>
              <m:r>
                <m:t>14</m:t>
              </m:r>
              <m:r>
                <m:rPr>
                  <m:sty m:val="p"/>
                </m:rPr>
                <m:t>/</m:t>
              </m:r>
              <m:r>
                <m:t>b</m:t>
              </m:r>
              <m:r>
                <m:t>b</m:t>
              </m:r>
              <m:r>
                <m:t>l</m:t>
              </m:r>
              <m:r>
                <m:t>m</m:t>
              </m:r>
              <m:r>
                <m:t>a</m:t>
              </m:r>
              <m:r>
                <m:t>r</m:t>
              </m:r>
              <m:r>
                <m:t>g</m:t>
              </m:r>
              <m:r>
                <m:t>i</m:t>
              </m:r>
              <m:r>
                <m:t>n</m:t>
              </m:r>
              <m:r>
                <m:t>s</m:t>
              </m:r>
              <m:r>
                <m:t>a</m:t>
              </m:r>
              <m:r>
                <m:t>s</m:t>
              </m:r>
              <m:r>
                <m:t>H</m:t>
              </m:r>
              <m:r>
                <m:t>o</m:t>
              </m:r>
              <m:r>
                <m:t>r</m:t>
              </m:r>
              <m:r>
                <m:t>m</m:t>
              </m:r>
              <m:r>
                <m:t>u</m:t>
              </m:r>
              <m:r>
                <m:t>z</m:t>
              </m:r>
              <m:r>
                <m:t>d</m:t>
              </m:r>
              <m:r>
                <m:t>e</m:t>
              </m:r>
              <m:r>
                <m:rPr>
                  <m:sty m:val="p"/>
                </m:rPr>
                <m:t>−</m:t>
              </m:r>
              <m:r>
                <m:t>e</m:t>
              </m:r>
              <m:r>
                <m:t>s</m:t>
              </m:r>
              <m:r>
                <m:t>c</m:t>
              </m:r>
              <m:r>
                <m:t>a</m:t>
              </m:r>
              <m:r>
                <m:t>l</m:t>
              </m:r>
              <m:r>
                <m:t>a</m:t>
              </m:r>
              <m:r>
                <m:t>t</m:t>
              </m:r>
              <m:r>
                <m:t>e</m:t>
              </m:r>
              <m:r>
                <m:t>s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16/bbl (Q3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PSX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Debt Paydown Path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~$19B debt by YE2026 reaffirmed vs. prior guide $19B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PSX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CPChem O&amp;P Utilization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~high-80s utilization as ME JV normalizes vs. prior guide low-80s (Q3 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PSX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-1.0%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PSX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-2.5% (FADE)</w:t>
            </w:r>
          </w:p>
        </w:tc>
        <w:tc>
          <w:tcPr/>
          <w:p>
            <w:pPr>
              <w:pStyle w:val="Compact"/>
            </w:pPr>
            <w:r>
              <w:t xml:space="preserve">Q2 beat is already de-risked by VLO/MPC read-throughs and largely priced into PSX's 58% YTD run and rich EV/EBITDA multiple; the real swing factor is forward tone, and with Iran/Oman Strait of Hormuz reopening talks accelerating right into the print, any cautious commentary on H2 crack spread durability should trigger cuts to out-period (Q3/Q4 2026, 2027) margin and EPS estimates even after a backward-looking beat, echoing VLO's partial post-print fade (peak +3.8% faded to ~+2% within days) despite its own blowout quarter.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2026-08-05T00:39:33Z</dcterms:created>
  <dcterms:modified xsi:type="dcterms:W3CDTF">2026-08-05T00:39:33Z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