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Xfdf968e60337f9f0124823f1854f968a8d377b2"/>
    <w:p>
      <w:pPr>
        <w:pStyle w:val="Heading1"/>
      </w:pPr>
      <w:r>
        <w:t xml:space="preserve">Phillips 66 (PSX)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Wednesday, August 5, 2026 (before market open) |</w:t>
      </w:r>
      <w:r>
        <w:t xml:space="preserve"> </w:t>
      </w:r>
      <w:r>
        <w:rPr>
          <w:b/>
          <w:bCs/>
        </w:rPr>
        <w:t xml:space="preserve">Event:</w:t>
      </w:r>
      <w:r>
        <w:t xml:space="preserve"> </w:t>
      </w:r>
      <w:r>
        <w:t xml:space="preserve">2026Q2 Earnings Call</w:t>
      </w:r>
    </w:p>
    <w:p>
      <w:r>
        <w:pict>
          <v:rect style="width:0;height:1.5pt" o:hralign="center" o:hrstd="t" o:hr="t"/>
        </w:pict>
      </w:r>
    </w:p>
    <w:bookmarkStart w:id="9" w:name="X949bd4f4089bbaccce539b2bd28d75b85935b6a"/>
    <w:p>
      <w:pPr>
        <w:pStyle w:val="Heading2"/>
      </w:pPr>
      <w:r>
        <w:t xml:space="preserve">1. Setup Into the Print</w:t>
      </w:r>
    </w:p>
    <w:p>
      <w:pPr>
        <w:pStyle w:val="FirstParagraph"/>
      </w:pPr>
      <w:r>
        <w:t xml:space="preserve">PSX has been one of the biggest beneficiaries of the 2026 Middle East energy crisis. Shares have roughly</w:t>
      </w:r>
      <w:r>
        <w:t xml:space="preserve"> </w:t>
      </w:r>
      <w:r>
        <w:rPr>
          <w:b/>
          <w:bCs/>
        </w:rPr>
        <w:t xml:space="preserve">58% YTD</w:t>
      </w:r>
      <w:r>
        <w:t xml:space="preserve"> </w:t>
      </w:r>
      <w:r>
        <w:t xml:space="preserve">(from ~</w:t>
      </w:r>
      <m:oMath>
        <m:r>
          <m:t>130</m:t>
        </m:r>
        <m:r>
          <m:t>o</m:t>
        </m:r>
        <m:r>
          <m:t>n</m:t>
        </m:r>
        <m:r>
          <m:t>1</m:t>
        </m:r>
        <m:r>
          <m:rPr>
            <m:sty m:val="p"/>
          </m:rPr>
          <m:t>/</m:t>
        </m:r>
        <m:r>
          <m:t>2</m:t>
        </m:r>
        <m:r>
          <m:rPr>
            <m:sty m:val="p"/>
          </m:rPr>
          <m:t>/</m:t>
        </m:r>
        <m:r>
          <m:t>26</m:t>
        </m:r>
        <m:r>
          <m:t>t</m:t>
        </m:r>
        <m:r>
          <m:t>o</m:t>
        </m:r>
        <m:r>
          <m:t> </m:t>
        </m:r>
      </m:oMath>
      <w:r>
        <w:t xml:space="preserve">206 as of 8/4/26), with a peak of $212.27 on 7/21/26 before pulling back ~3% into the print. That pullback coincides with headlines that the U.S. and regional partners are nearing a deal to reopen the Strait of Hormuz, with reports that Iran and Oman are "working toward a deal to reopen" the chokepoint and that oil prices have slid on the news. This is the key tension investors need to reconcile: Q2 results themselves should be spectacular (the quarter was fought entirely under crisis-level refining margins), but the forward setup is now clouded by de-escalation optionality that could compress the crack spreads that drove the upside.</w:t>
      </w:r>
    </w:p>
    <w:p>
      <w:pPr>
        <w:pStyle w:val="BodyText"/>
      </w:pPr>
      <w:r>
        <w:rPr>
          <w:b/>
          <w:bCs/>
        </w:rPr>
        <w:t xml:space="preserve">Peer read-through has been extremely strong: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Valero (VLO)</w:t>
      </w:r>
      <w:r>
        <w:t xml:space="preserve"> </w:t>
      </w:r>
      <w:r>
        <w:t xml:space="preserve">reported its highest-ever Q2 profit, posting</w:t>
      </w:r>
      <w:r>
        <w:t xml:space="preserve"> </w:t>
      </w:r>
      <m:oMath>
        <m:r>
          <m:t>12.54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v</m:t>
        </m:r>
        <m:r>
          <m:t>s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10.12</w:t>
      </w:r>
      <w:r>
        <w:t xml:space="preserve"> </w:t>
      </w:r>
      <w:r>
        <w:t xml:space="preserve">Street estimate, with refining margin per barrel nearly doubling to</w:t>
      </w:r>
      <w:r>
        <w:t xml:space="preserve"> </w:t>
      </w:r>
      <m:oMath>
        <m:r>
          <m:t>23.62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f</m:t>
        </m:r>
        <m:r>
          <m:t>i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t>e</m:t>
        </m:r>
        <m:r>
          <m:t>g</m:t>
        </m:r>
        <m:r>
          <m:t>m</m:t>
        </m:r>
        <m:r>
          <m:t>e</m:t>
        </m:r>
        <m:r>
          <m:t>n</m:t>
        </m:r>
        <m:r>
          <m:t>t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t>t</m:t>
        </m:r>
        <m:r>
          <m:t>r</m:t>
        </m:r>
        <m:r>
          <m:t>i</m:t>
        </m:r>
        <m:r>
          <m:t>p</m:t>
        </m:r>
        <m:r>
          <m:t>l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4.4 billion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Marathon Petroleum (MPC)</w:t>
      </w:r>
      <w:r>
        <w:t xml:space="preserve"> </w:t>
      </w:r>
      <w:r>
        <w:t xml:space="preserve">beat with</w:t>
      </w:r>
      <w:r>
        <w:t xml:space="preserve"> </w:t>
      </w:r>
      <m:oMath>
        <m:r>
          <m:t>17.73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p</m:t>
        </m:r>
        <m:r>
          <m:t>r</m:t>
        </m:r>
        <m:r>
          <m:t>o</m:t>
        </m:r>
        <m:r>
          <m:t>f</m:t>
        </m:r>
        <m:r>
          <m:t>i</m:t>
        </m:r>
        <m:r>
          <m:t>t</m:t>
        </m:r>
        <m:r>
          <m:t>v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13.73</w:t>
      </w:r>
      <w:r>
        <w:t xml:space="preserve"> </w:t>
      </w:r>
      <w:r>
        <w:t xml:space="preserve">expected, as its refining and marketing margin jumped to</w:t>
      </w:r>
      <w:r>
        <w:t xml:space="preserve"> </w:t>
      </w:r>
      <m:oMath>
        <m:r>
          <m:t>36.33</m:t>
        </m:r>
        <m:r>
          <m:rPr>
            <m:sty m:val="p"/>
          </m:rPr>
          <m:t>/</m:t>
        </m:r>
        <m:r>
          <m:t>b</m:t>
        </m:r>
        <m:r>
          <m:t>b</m:t>
        </m:r>
        <m:r>
          <m:t>l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17.58/bbl</w:t>
      </w:r>
      <w:r>
        <w:t xml:space="preserve"> </w:t>
      </w:r>
      <w:r>
        <w:t xml:space="preserve">a year ago, driven by the Iran-related supply disruption.</w:t>
      </w:r>
    </w:p>
    <w:p>
      <w:pPr>
        <w:pStyle w:val="FirstParagraph"/>
      </w:pPr>
      <w:r>
        <w:t xml:space="preserve">Both moves were explicitly tied to the effective closure of the Strait of Hormuz and disrupted crude flows during the quarter.</w:t>
      </w:r>
    </w:p>
    <w:bookmarkEnd w:id="9"/>
    <w:bookmarkStart w:id="10" w:name="X3d771e5b0f52fbd76c55e4d25208bf662ed5a6d"/>
    <w:p>
      <w:pPr>
        <w:pStyle w:val="Heading2"/>
      </w:pPr>
      <w:r>
        <w:t xml:space="preserve">2. Consensus Expectations for PSX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Zacks consensus is</w:t>
      </w:r>
      <w:r>
        <w:t xml:space="preserve"> </w:t>
      </w:r>
      <w:r>
        <w:rPr>
          <w:b/>
          <w:bCs/>
        </w:rPr>
        <w:t xml:space="preserve">$7.68/share</w:t>
      </w:r>
      <w:r>
        <w:t xml:space="preserve">, implying</w:t>
      </w:r>
      <w:r>
        <w:t xml:space="preserve"> </w:t>
      </w:r>
      <w:r>
        <w:rPr>
          <w:b/>
          <w:bCs/>
        </w:rPr>
        <w:t xml:space="preserve">+222.7% YoY</w:t>
      </w:r>
      <w:r>
        <w:t xml:space="preserve"> </w:t>
      </w:r>
      <w:r>
        <w:t xml:space="preserve">growth from</w:t>
      </w:r>
      <w:r>
        <w:t xml:space="preserve"> </w:t>
      </w:r>
      <m:oMath>
        <m:r>
          <m:t>2.38</m:t>
        </m:r>
        <m:r>
          <m:t>a</m:t>
        </m:r>
        <m:r>
          <m:t>y</m:t>
        </m:r>
        <m:r>
          <m:t>e</m:t>
        </m:r>
        <m:r>
          <m:t>a</m:t>
        </m:r>
        <m:r>
          <m:t>r</m:t>
        </m:r>
        <m:r>
          <m:t>a</m:t>
        </m:r>
        <m:r>
          <m:t>g</m:t>
        </m:r>
        <m:r>
          <m:t>o</m:t>
        </m:r>
        <m:r>
          <m:rPr>
            <m:sty m:val="p"/>
          </m:rPr>
          <m:t>;</m:t>
        </m:r>
        <m:r>
          <m:t>a</m:t>
        </m:r>
        <m:r>
          <m:t>s</m:t>
        </m:r>
        <m:r>
          <m:t>e</m:t>
        </m:r>
        <m:r>
          <m:t>p</m:t>
        </m:r>
        <m:r>
          <m:t>a</m:t>
        </m:r>
        <m:r>
          <m:t>r</m:t>
        </m:r>
        <m:r>
          <m:t>a</m:t>
        </m:r>
        <m:r>
          <m:t>t</m:t>
        </m:r>
        <m:r>
          <m:t>e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rPr>
            <m:sty m:val="p"/>
          </m:rPr>
          <m:t>(</m:t>
        </m:r>
        <m:r>
          <m:t>B</m:t>
        </m:r>
        <m:r>
          <m:t>a</m:t>
        </m:r>
        <m:r>
          <m:t>r</m:t>
        </m:r>
        <m:r>
          <m:t>r</m:t>
        </m:r>
        <m:r>
          <m:t>o</m:t>
        </m:r>
        <m:sSup>
          <m:e>
            <m:r>
              <m:t>n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rPr>
            <m:sty m:val="p"/>
          </m:rPr>
          <m:t>/</m:t>
        </m:r>
        <m:r>
          <m:t>Y</m:t>
        </m:r>
        <m:r>
          <m:t>a</m:t>
        </m:r>
        <m:r>
          <m:t>h</m:t>
        </m:r>
        <m:r>
          <m:t>o</m:t>
        </m:r>
        <m:r>
          <m:t>o</m:t>
        </m:r>
        <m:r>
          <m:t>a</m:t>
        </m:r>
        <m:r>
          <m:t>g</m:t>
        </m:r>
        <m:r>
          <m:t>g</m:t>
        </m:r>
        <m:r>
          <m:t>r</m:t>
        </m:r>
        <m:r>
          <m:t>e</m:t>
        </m:r>
        <m:r>
          <m:t>g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)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s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6.99**, up 193.7% YoY — either way, a step-change improvement.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Consensus of roughly</w:t>
      </w:r>
      <w:r>
        <w:t xml:space="preserve"> </w:t>
      </w:r>
      <w:r>
        <w:rPr>
          <w:b/>
          <w:bCs/>
        </w:rPr>
        <w:t xml:space="preserve">$36.2 billion</w:t>
      </w:r>
      <w:r>
        <w:t xml:space="preserve">, up</w:t>
      </w:r>
      <w:r>
        <w:t xml:space="preserve"> </w:t>
      </w:r>
      <w:r>
        <w:rPr>
          <w:b/>
          <w:bCs/>
        </w:rPr>
        <w:t xml:space="preserve">7.9% YoY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Track record:</w:t>
      </w:r>
      <w:r>
        <w:t xml:space="preserve"> </w:t>
      </w:r>
      <w:r>
        <w:t xml:space="preserve">PSX has beaten consensus EPS in each of the last four quarters, with an average surprise of</w:t>
      </w:r>
      <w:r>
        <w:t xml:space="preserve"> </w:t>
      </w:r>
      <w:r>
        <w:rPr>
          <w:b/>
          <w:bCs/>
        </w:rPr>
        <w:t xml:space="preserve">67.8%</w:t>
      </w:r>
      <w:r>
        <w:t xml:space="preserve">. Notably, one quant model (Zacks Earnings ESP)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signaling a beat this time, a departure from recent quarters — worth flagging as a rare note of caution given the otherwise bullish setup.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Full-year 2026:</w:t>
      </w:r>
      <w:r>
        <w:t xml:space="preserve"> </w:t>
      </w:r>
      <w:r>
        <w:t xml:space="preserve">Consensus sits near</w:t>
      </w:r>
      <w:r>
        <w:t xml:space="preserve"> </w:t>
      </w:r>
      <m:oMath>
        <m:r>
          <m:t>17.39</m:t>
        </m:r>
        <m:r>
          <m:rPr>
            <m:sty m:val="p"/>
          </m:rPr>
          <m:t>–</m:t>
        </m:r>
      </m:oMath>
      <w:r>
        <w:rPr>
          <w:b/>
          <w:bCs/>
        </w:rPr>
        <w:t xml:space="preserve">19.27</w:t>
      </w:r>
      <w:r>
        <w:t xml:space="preserve"> </w:t>
      </w:r>
      <w:r>
        <w:t xml:space="preserve">EPS, up roughly 170–199% YoY.</w:t>
      </w:r>
    </w:p>
    <w:bookmarkEnd w:id="10"/>
    <w:bookmarkStart w:id="11" w:name="Xe4dd0d14d868082f6f3c06789dcaf0f98181345"/>
    <w:p>
      <w:pPr>
        <w:pStyle w:val="Heading2"/>
      </w:pPr>
      <w:r>
        <w:t xml:space="preserve">3. What Drove Q1 and What to Watch Repeating/Fading in Q2</w:t>
      </w:r>
    </w:p>
    <w:p>
      <w:pPr>
        <w:pStyle w:val="FirstParagraph"/>
      </w:pPr>
      <w:r>
        <w:t xml:space="preserve">Phillips 66's Q1 2026 print set the stage: reported earnings of</w:t>
      </w:r>
      <w:r>
        <w:t xml:space="preserve"> </w:t>
      </w:r>
      <m:oMath>
        <m:r>
          <m:t>207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</m:oMath>
      <w:r>
        <w:t xml:space="preserve">0.51/share) and adjusted earnings of</w:t>
      </w:r>
      <w:r>
        <w:t xml:space="preserve"> </w:t>
      </w:r>
      <m:oMath>
        <m:r>
          <m:t>200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</m:oMath>
      <w:r>
        <w:t xml:space="preserve">0.49/share), materially ahead of a consensus loss estimate, but the quarter was distorted by an</w:t>
      </w:r>
      <w:r>
        <w:t xml:space="preserve"> </w:t>
      </w:r>
      <m:oMath>
        <m:r>
          <m:t>839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m</m:t>
        </m:r>
        <m:r>
          <m:t>a</m:t>
        </m:r>
        <m:r>
          <m:t>r</m:t>
        </m:r>
        <m:r>
          <m:t>k</m:t>
        </m:r>
        <m:r>
          <m:rPr>
            <m:sty m:val="p"/>
          </m:rPr>
          <m:t>−</m:t>
        </m:r>
        <m:r>
          <m:t>t</m:t>
        </m:r>
        <m:r>
          <m:t>o</m:t>
        </m:r>
        <m:r>
          <m:rPr>
            <m:sty m:val="p"/>
          </m:rPr>
          <m:t>−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l</m:t>
        </m:r>
        <m:r>
          <m:t>o</m:t>
        </m:r>
        <m:r>
          <m:t>s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s</m:t>
        </m:r>
        <m:r>
          <m:t>h</m:t>
        </m:r>
        <m:r>
          <m:t>o</m:t>
        </m:r>
        <m:r>
          <m:t>r</m:t>
        </m:r>
        <m:r>
          <m:t>t</m:t>
        </m:r>
        <m:r>
          <m:t>d</m:t>
        </m:r>
        <m:r>
          <m:t>e</m:t>
        </m:r>
        <m:r>
          <m:t>r</m:t>
        </m:r>
        <m:r>
          <m:t>i</m:t>
        </m:r>
        <m:r>
          <m:t>v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h</m:t>
        </m:r>
        <m:r>
          <m:t>e</m:t>
        </m:r>
        <m:r>
          <m:t>d</m:t>
        </m:r>
        <m:r>
          <m:t>g</m:t>
        </m:r>
        <m:r>
          <m:t>e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t</m:t>
        </m:r>
        <m:r>
          <m:t>i</m:t>
        </m:r>
        <m:r>
          <m:t>e</m:t>
        </m:r>
        <m:r>
          <m:t>d</m:t>
        </m:r>
        <m:r>
          <m:t>t</m:t>
        </m:r>
        <m:r>
          <m:t>o</m:t>
        </m:r>
        <m:r>
          <m:t>u</m:t>
        </m:r>
        <m:r>
          <m:t>n</m:t>
        </m:r>
        <m:r>
          <m:t>p</m:t>
        </m:r>
        <m:r>
          <m:t>r</m:t>
        </m:r>
        <m:r>
          <m:t>e</m:t>
        </m:r>
        <m:r>
          <m:t>c</m:t>
        </m:r>
        <m:r>
          <m:t>e</m:t>
        </m:r>
        <m:r>
          <m:t>d</m:t>
        </m:r>
        <m:r>
          <m:t>e</m:t>
        </m:r>
        <m:r>
          <m:t>n</m:t>
        </m:r>
        <m:r>
          <m:t>t</m:t>
        </m:r>
        <m:r>
          <m:t>e</m:t>
        </m:r>
        <m:r>
          <m:t>d</m:t>
        </m:r>
        <m:r>
          <m:t>c</m:t>
        </m:r>
        <m:r>
          <m:t>o</m:t>
        </m:r>
        <m:r>
          <m:t>m</m:t>
        </m:r>
        <m:r>
          <m:t>m</m:t>
        </m:r>
        <m:r>
          <m:t>o</m:t>
        </m:r>
        <m:r>
          <m:t>d</m:t>
        </m:r>
        <m:r>
          <m:t>i</m:t>
        </m:r>
        <m:r>
          <m:t>t</m:t>
        </m:r>
        <m:r>
          <m:t>y</m:t>
        </m:r>
        <m:r>
          <m:t>v</m:t>
        </m:r>
        <m:r>
          <m:t>o</m:t>
        </m:r>
        <m:r>
          <m:t>l</m:t>
        </m:r>
        <m:r>
          <m:t>a</m:t>
        </m:r>
        <m:r>
          <m:t>t</m:t>
        </m:r>
        <m:r>
          <m:t>i</m:t>
        </m:r>
        <m:r>
          <m:t>l</m:t>
        </m:r>
        <m:r>
          <m:t>i</m:t>
        </m:r>
        <m:r>
          <m:t>t</m:t>
        </m:r>
        <m:r>
          <m:t>y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i</m:t>
        </m:r>
        <m:r>
          <m:t>n</m:t>
        </m:r>
        <m:r>
          <m:t>d</m:t>
        </m:r>
        <m:r>
          <m:t>i</m:t>
        </m:r>
        <m:r>
          <m:t>c</m:t>
        </m:r>
        <m:r>
          <m:t>a</m:t>
        </m:r>
        <m:r>
          <m:t>t</m:t>
        </m:r>
        <m:r>
          <m:t>e</m:t>
        </m:r>
        <m:r>
          <m:t>d</m:t>
        </m:r>
        <m:r>
          <m:t>t</m:t>
        </m:r>
        <m:r>
          <m:t>h</m:t>
        </m:r>
        <m:r>
          <m:t>a</m:t>
        </m:r>
        <m:r>
          <m:t>t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500 million of that hit could reverse by year-end</w:t>
      </w:r>
      <w:r>
        <w:t xml:space="preserve"> </w:t>
      </w:r>
      <w:r>
        <w:t xml:space="preserve">if the forward curve played out as expected — a swing factor investors should track in Q2's segment detail.</w:t>
      </w:r>
    </w:p>
    <w:p>
      <w:pPr>
        <w:pStyle w:val="BodyText"/>
      </w:pPr>
      <w:r>
        <w:t xml:space="preserve">Key Q2 guidance given on the Q1 call (April 29):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Chemicals (CPChem):</w:t>
      </w:r>
      <w:r>
        <w:t xml:space="preserve"> </w:t>
      </w:r>
      <w:r>
        <w:t xml:space="preserve">global O&amp;P utilization expected in the</w:t>
      </w:r>
      <w:r>
        <w:t xml:space="preserve"> </w:t>
      </w:r>
      <w:r>
        <w:rPr>
          <w:b/>
          <w:bCs/>
        </w:rPr>
        <w:t xml:space="preserve">low 80s</w:t>
      </w:r>
      <w:r>
        <w:t xml:space="preserve">, due to uncertainty at Middle East joint ventures.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Refining:</w:t>
      </w:r>
      <w:r>
        <w:t xml:space="preserve"> </w:t>
      </w:r>
      <w:r>
        <w:t xml:space="preserve">worldwide crude utilization expected</w:t>
      </w:r>
      <w:r>
        <w:t xml:space="preserve"> </w:t>
      </w:r>
      <w:r>
        <w:rPr>
          <w:b/>
          <w:bCs/>
        </w:rPr>
        <w:t xml:space="preserve">low-to-mid 90s</w:t>
      </w:r>
      <w:r>
        <w:t xml:space="preserve">; turnaround expense guided at</w:t>
      </w:r>
      <w:r>
        <w:t xml:space="preserve"> </w:t>
      </w:r>
      <m:oMath>
        <m:r>
          <m:t>120</m:t>
        </m:r>
        <m:r>
          <m:rPr>
            <m:sty m:val="p"/>
          </m:rPr>
          <m:t>–</m:t>
        </m:r>
        <m:r>
          <m:t>150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;</m:t>
        </m:r>
        <m:r>
          <m:t>c</m:t>
        </m:r>
        <m:r>
          <m:t>o</m:t>
        </m:r>
        <m:r>
          <m:t>r</m:t>
        </m:r>
        <m:r>
          <m:t>p</m:t>
        </m:r>
        <m:r>
          <m:t>o</m:t>
        </m:r>
        <m:r>
          <m:t>r</m:t>
        </m:r>
        <m:r>
          <m:t>a</m:t>
        </m:r>
        <m:r>
          <m:t>t</m:t>
        </m:r>
        <m:r>
          <m:t>e</m:t>
        </m:r>
        <m:r>
          <m:rPr>
            <m:sty m:val="p"/>
          </m:rPr>
          <m:t>/</m:t>
        </m:r>
        <m:r>
          <m:t>o</m:t>
        </m:r>
        <m:r>
          <m:t>t</m:t>
        </m:r>
        <m:r>
          <m:t>h</m:t>
        </m:r>
        <m:r>
          <m:t>e</m:t>
        </m:r>
        <m:r>
          <m:t>r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430–450 million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Market capture:</w:t>
      </w:r>
      <w:r>
        <w:t xml:space="preserve"> </w:t>
      </w:r>
      <w:r>
        <w:t xml:space="preserve">Q1's standout was a</w:t>
      </w:r>
      <w:r>
        <w:t xml:space="preserve"> </w:t>
      </w:r>
      <w:r>
        <w:rPr>
          <w:b/>
          <w:bCs/>
        </w:rPr>
        <w:t xml:space="preserve">138% worldwide market capture rate</w:t>
      </w:r>
      <w:r>
        <w:t xml:space="preserve">, driven by opportunistic commercial moves (Bakken-to-Beaumont-to-Bayway logistics, Jones Act waiver cargoes, locked-in time-charter freight). Management guided Q2 capture toward a</w:t>
      </w:r>
      <w:r>
        <w:t xml:space="preserve"> </w:t>
      </w:r>
      <w:r>
        <w:rPr>
          <w:b/>
          <w:bCs/>
        </w:rPr>
        <w:t xml:space="preserve">"mid-90s" starting point</w:t>
      </w:r>
      <w:r>
        <w:t xml:space="preserve">, with tailwinds from butane blending/RVP waivers and strong jet/octane differentials, offset by backwardation and any turnaround-related headwinds.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Cost discipline:</w:t>
      </w:r>
      <w:r>
        <w:t xml:space="preserve"> </w:t>
      </w:r>
      <w:r>
        <w:t xml:space="preserve">Refining opex was $6.21/bbl in Q1 (an $0.80/bbl YoY improvement), normalizing to the "low</w:t>
      </w:r>
      <w:r>
        <w:t xml:space="preserve"> </w:t>
      </w:r>
      <w:r>
        <w:t xml:space="preserve">$5.80s" ex-seasonal gas costs — still tracking toward the **$</w:t>
      </w:r>
      <w:r>
        <w:t xml:space="preserve">5.50/bbl 2027 target** via 200+ active cost initiatives.</w:t>
      </w:r>
    </w:p>
    <w:bookmarkEnd w:id="11"/>
    <w:bookmarkStart w:id="12" w:name="Xe951e37f0152403e36104c3a600aa97ee121f30"/>
    <w:p>
      <w:pPr>
        <w:pStyle w:val="Heading2"/>
      </w:pPr>
      <w:r>
        <w:t xml:space="preserve">4. Balance Sheet &amp; Capital Return — A Key Debate</w:t>
      </w:r>
    </w:p>
    <w:p>
      <w:pPr>
        <w:pStyle w:val="FirstParagraph"/>
      </w:pPr>
      <w:r>
        <w:t xml:space="preserve">Leverage rose sharply in Q1 as PSX pre-funded margin call capacity: debt jumped to</w:t>
      </w:r>
      <w:r>
        <w:t xml:space="preserve"> </w:t>
      </w:r>
      <w:r>
        <w:rPr>
          <w:b/>
          <w:bCs/>
        </w:rPr>
        <w:t xml:space="preserve">$27.1 billion</w:t>
      </w:r>
      <w:r>
        <w:t xml:space="preserve"> </w:t>
      </w:r>
      <w:r>
        <w:t xml:space="preserve">(48% debt-to-capital, 43% net debt-to-capital) from</w:t>
      </w:r>
      <w:r>
        <w:t xml:space="preserve"> </w:t>
      </w:r>
      <m:oMath>
        <m:r>
          <m:t>19.7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t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−</m:t>
        </m:r>
        <m:r>
          <m:t>e</m:t>
        </m:r>
        <m:r>
          <m:t>n</m:t>
        </m:r>
        <m:r>
          <m:t>d</m:t>
        </m:r>
        <m:r>
          <m:t>2025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c</m:t>
        </m:r>
        <m:r>
          <m:t>a</m:t>
        </m:r>
        <m:r>
          <m:t>s</m:t>
        </m:r>
        <m:r>
          <m:t>h</m:t>
        </m:r>
        <m:r>
          <m:t>e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t</m:t>
        </m:r>
        <m:r>
          <m:t>h</m:t>
        </m:r>
        <m:r>
          <m:t>e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5.15 billion** (</w:t>
      </w:r>
      <m:oMath>
        <m:r>
          <m:t>6.0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l</m:t>
        </m:r>
        <m:r>
          <m:t>i</m:t>
        </m:r>
        <m:r>
          <m:t>q</m:t>
        </m:r>
        <m:r>
          <m:t>u</m:t>
        </m:r>
        <m:r>
          <m:t>i</m:t>
        </m:r>
        <m:r>
          <m:t>d</m:t>
        </m:r>
        <m:r>
          <m:t>i</m:t>
        </m:r>
        <m:r>
          <m:t>t</m:t>
        </m:r>
        <m:r>
          <m:t>y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l</m:t>
        </m:r>
        <m:r>
          <m:t>a</m:t>
        </m:r>
        <m:r>
          <m:t>i</m:t>
        </m:r>
        <m:r>
          <m:t>d</m:t>
        </m:r>
        <m:r>
          <m:t>o</m:t>
        </m:r>
        <m:r>
          <m:t>u</m:t>
        </m:r>
        <m:r>
          <m:t>t</m:t>
        </m:r>
        <m:r>
          <m:t>a</m:t>
        </m:r>
        <m:r>
          <m:t>b</m:t>
        </m:r>
        <m:r>
          <m:t>r</m:t>
        </m:r>
        <m:r>
          <m:t>i</m:t>
        </m:r>
        <m:r>
          <m:t>d</m:t>
        </m:r>
        <m:r>
          <m:t>g</m:t>
        </m:r>
        <m:r>
          <m:t>e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19 billion of debt by year-end 2026** and the long-standing</w:t>
      </w:r>
      <w:r>
        <w:t xml:space="preserve"> </w:t>
      </w:r>
      <w:r>
        <w:rPr>
          <w:b/>
          <w:bCs/>
        </w:rPr>
        <w:t xml:space="preserve">$17 billion target by year-end 2027</w:t>
      </w:r>
      <w:r>
        <w:t xml:space="preserve">, funded by working-capital unwind, operating cash flow, and drawing down excess cash as volatility subsides — while still committing to return</w:t>
      </w:r>
      <w:r>
        <w:t xml:space="preserve"> </w:t>
      </w:r>
      <w:r>
        <w:rPr>
          <w:b/>
          <w:bCs/>
        </w:rPr>
        <w:t xml:space="preserve">&gt;50% of operating cash flow</w:t>
      </w:r>
      <w:r>
        <w:t xml:space="preserve"> </w:t>
      </w:r>
      <w:r>
        <w:t xml:space="preserve">to shareholders (split roughly evenly between dividends and buybacks). Watch Q2 for:</w:t>
      </w:r>
    </w:p>
    <w:p>
      <w:pPr>
        <w:pStyle w:val="Compact"/>
        <w:numPr>
          <w:ilvl w:val="0"/>
          <w:numId w:val="1004"/>
        </w:numPr>
      </w:pPr>
      <w:r>
        <w:t xml:space="preserve">Whether the elevated cash/margin-call balances (which stood at $3.2 billion at quarter-end, already down to $2.1 billion shortly after) have normalized further.</w:t>
      </w:r>
    </w:p>
    <w:p>
      <w:pPr>
        <w:pStyle w:val="Compact"/>
        <w:numPr>
          <w:ilvl w:val="0"/>
          <w:numId w:val="1004"/>
        </w:numPr>
      </w:pPr>
      <w:r>
        <w:t xml:space="preserve">Progress on the debt glide path and any incremental buyback commentary given the stock's rally.</w:t>
      </w:r>
    </w:p>
    <w:p>
      <w:pPr>
        <w:pStyle w:val="Compact"/>
        <w:numPr>
          <w:ilvl w:val="0"/>
          <w:numId w:val="1004"/>
        </w:numPr>
      </w:pPr>
      <w:r>
        <w:t xml:space="preserve">The dividend: PSX raised its quarterly dividend 7% on an annualized basis in Q1 and has since declared a</w:t>
      </w:r>
      <w:r>
        <w:t xml:space="preserve"> </w:t>
      </w:r>
      <w:r>
        <w:rPr>
          <w:b/>
          <w:bCs/>
        </w:rPr>
        <w:t xml:space="preserve">$1.27/share quarterly dividend</w:t>
      </w:r>
      <w:r>
        <w:t xml:space="preserve"> </w:t>
      </w:r>
      <w:r>
        <w:t xml:space="preserve">payable September 1, 2026.</w:t>
      </w:r>
    </w:p>
    <w:bookmarkEnd w:id="12"/>
    <w:bookmarkStart w:id="13" w:name="Xf94a4fc774a25ef1c63d41d034e75a1b2e07462"/>
    <w:p>
      <w:pPr>
        <w:pStyle w:val="Heading2"/>
      </w:pPr>
      <w:r>
        <w:t xml:space="preserve">5. Segment/Strategic Items Likely to Feature on the Call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Midstream:</w:t>
      </w:r>
      <w:r>
        <w:t xml:space="preserve"> </w:t>
      </w:r>
      <w:r>
        <w:t xml:space="preserve">targeting</w:t>
      </w:r>
      <w:r>
        <w:t xml:space="preserve"> </w:t>
      </w:r>
      <w:r>
        <w:rPr>
          <w:b/>
          <w:bCs/>
        </w:rPr>
        <w:t xml:space="preserve">$4.5 billion EBITDA by 2027</w:t>
      </w:r>
      <w:r>
        <w:t xml:space="preserve">; watch for updates on the</w:t>
      </w:r>
      <w:r>
        <w:t xml:space="preserve"> </w:t>
      </w:r>
      <w:r>
        <w:rPr>
          <w:b/>
          <w:bCs/>
        </w:rPr>
        <w:t xml:space="preserve">Western Gateway Pipeline</w:t>
      </w:r>
      <w:r>
        <w:t xml:space="preserve"> </w:t>
      </w:r>
      <w:r>
        <w:t xml:space="preserve">(JV with Kinder Morgan), which management targeted for</w:t>
      </w:r>
      <w:r>
        <w:t xml:space="preserve"> </w:t>
      </w:r>
      <w:r>
        <w:rPr>
          <w:b/>
          <w:bCs/>
        </w:rPr>
        <w:t xml:space="preserve">FID mid-to-late summer 2026</w:t>
      </w:r>
      <w:r>
        <w:t xml:space="preserve"> </w:t>
      </w:r>
      <w:r>
        <w:t xml:space="preserve">— i.e., right around this print — plus progress on the Iron Mesa gas plant (on track for Q1 2027 startup).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Chemicals:</w:t>
      </w:r>
      <w:r>
        <w:t xml:space="preserve"> </w:t>
      </w:r>
      <w:r>
        <w:t xml:space="preserve">CPChem's Golden Triangle Polymers (Texas) and Ras Laffan Polymers Project (Qatar) remain on track for full operations in 2027; near-term utilization remains capped by Middle East JV disruption, but U.S. Gulf Coast ethane-advantaged capacity (80%+ of CPChem's footprint) continues to benefit from a structurally higher cost curve.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Renewable Fuels:</w:t>
      </w:r>
      <w:r>
        <w:t xml:space="preserve"> </w:t>
      </w:r>
      <w:r>
        <w:t xml:space="preserve">a segment to watch for inflection — RIN prices have roughly doubled versus 2025 and the Rodeo renewable diesel facility has been running</w:t>
      </w:r>
      <w:r>
        <w:t xml:space="preserve"> </w:t>
      </w:r>
      <w:r>
        <w:rPr>
          <w:b/>
          <w:bCs/>
        </w:rPr>
        <w:t xml:space="preserve">above nameplate capacity</w:t>
      </w:r>
      <w:r>
        <w:t xml:space="preserve">, which management flagged as a likely source of a material YoY free-cash-flow improvement.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Refining footprint:</w:t>
      </w:r>
      <w:r>
        <w:t xml:space="preserve"> </w:t>
      </w:r>
      <w:r>
        <w:t xml:space="preserve">completed the acquisition of the</w:t>
      </w:r>
      <w:r>
        <w:t xml:space="preserve"> </w:t>
      </w:r>
      <w:r>
        <w:rPr>
          <w:b/>
          <w:bCs/>
        </w:rPr>
        <w:t xml:space="preserve">Lindsey Oil Refinery</w:t>
      </w:r>
      <w:r>
        <w:t xml:space="preserve"> </w:t>
      </w:r>
      <w:r>
        <w:t xml:space="preserve">and logistics assets in the UK (April 2026), and continues decommissioning/redevelopment work at the idled Los Angeles refinery site (a drag on Corporate &amp; Other costs).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Canadian crude differentials:</w:t>
      </w:r>
      <w:r>
        <w:t xml:space="preserve"> </w:t>
      </w:r>
      <w:r>
        <w:t xml:space="preserve">WTI-WCS widened to nearly</w:t>
      </w:r>
      <w:r>
        <w:t xml:space="preserve"> </w:t>
      </w:r>
      <m:oMath>
        <m:r>
          <m:t>18</m:t>
        </m:r>
        <m:r>
          <m:rPr>
            <m:sty m:val="p"/>
          </m:rPr>
          <m:t>/</m:t>
        </m:r>
        <m:r>
          <m:t>b</m:t>
        </m:r>
        <m:r>
          <m:t>b</m:t>
        </m:r>
        <m:r>
          <m:t>l</m:t>
        </m:r>
        <m:r>
          <m:t>e</m:t>
        </m:r>
        <m:r>
          <m:t>x</m:t>
        </m:r>
        <m:r>
          <m:t>i</m:t>
        </m:r>
        <m:r>
          <m:t>t</m:t>
        </m:r>
        <m:r>
          <m:t>i</m:t>
        </m:r>
        <m:r>
          <m:t>n</m:t>
        </m:r>
        <m:r>
          <m:t>g</m:t>
        </m:r>
        <m:r>
          <m:t>Q</m:t>
        </m:r>
        <m:r>
          <m:t>1</m:t>
        </m:r>
        <m:r>
          <m:rPr>
            <m:sty m:val="p"/>
          </m:rPr>
          <m:t>;</m:t>
        </m:r>
        <m:r>
          <m:t>P</m:t>
        </m:r>
        <m:r>
          <m:t>S</m:t>
        </m:r>
        <m:r>
          <m:t>X</m:t>
        </m:r>
        <m:r>
          <m:t>q</m:t>
        </m:r>
        <m:r>
          <m:t>u</m:t>
        </m:r>
        <m:r>
          <m:t>a</m:t>
        </m:r>
        <m:r>
          <m:t>n</m:t>
        </m:r>
        <m:r>
          <m:t>t</m:t>
        </m:r>
        <m:r>
          <m:t>i</m:t>
        </m:r>
        <m:r>
          <m:t>f</m:t>
        </m:r>
        <m:r>
          <m:t>i</m:t>
        </m:r>
        <m:r>
          <m:t>e</m:t>
        </m:r>
        <m:r>
          <m:t>d</m:t>
        </m:r>
        <m:r>
          <m:t>s</m:t>
        </m:r>
        <m:r>
          <m:t>e</m:t>
        </m:r>
        <m:r>
          <m:t>n</m:t>
        </m:r>
        <m:r>
          <m:t>s</m:t>
        </m:r>
        <m:r>
          <m:t>i</m:t>
        </m:r>
        <m:r>
          <m:t>t</m:t>
        </m:r>
        <m:r>
          <m:t>i</m:t>
        </m:r>
        <m:r>
          <m:t>v</m:t>
        </m:r>
        <m:r>
          <m:t>i</m:t>
        </m:r>
        <m:r>
          <m:t>t</m:t>
        </m:r>
        <m:r>
          <m:t>y</m:t>
        </m:r>
        <m:r>
          <m:t>a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140 million of additional earnings for every $1 of differential widening** given its Midcon/Canadian pipeline positioning — a potential Q2 tailwind worth checking.</w:t>
      </w:r>
    </w:p>
    <w:bookmarkEnd w:id="13"/>
    <w:bookmarkStart w:id="14" w:name="X6b57a9474e689afef905c83966e2aa07e7bc194"/>
    <w:p>
      <w:pPr>
        <w:pStyle w:val="Heading2"/>
      </w:pPr>
      <w:r>
        <w:t xml:space="preserve">6. Valuation &amp; Sentiment Backdrop</w:t>
      </w:r>
    </w:p>
    <w:p>
      <w:pPr>
        <w:pStyle w:val="FirstParagraph"/>
      </w:pPr>
      <w:r>
        <w:t xml:space="preserve">Analyst sentiment has grown more bullish into the print, with several upward price-target revisions: Mizuho upgraded PSX to Outperform and raised its target from $170 to $212, while both Jefferies and Goldman Sachs raised targets to</w:t>
      </w:r>
      <w:r>
        <w:t xml:space="preserve"> </w:t>
      </w:r>
      <w:r>
        <w:t xml:space="preserve">$207 (Goldman remains Neutral-rated, though, citing PSX's diversified portfolio and refining margin upside). The broader analyst base is a "Moderate Buy" (roughly 9–10 Strong Buy, 2 Moderate Buy, 6–8 Hold, 1 Strong Sell out of ~19-20 analysts), with mean price targets that have ranged from ~$</w:t>
      </w:r>
      <w:r>
        <w:t xml:space="preserve">186–$196 in recent months. On valuation, PSX's trailing EV/EBITDA is running well above refining peers, and this "relatively overvalued" positioning versus VLO and smaller peers is a point some bears cite even amid an improving earnings outlook.</w:t>
      </w:r>
    </w:p>
    <w:bookmarkEnd w:id="14"/>
    <w:bookmarkStart w:id="16" w:name="X0320c8f35fe58968c9485f6708087341825c36b"/>
    <w:p>
      <w:pPr>
        <w:pStyle w:val="Heading2"/>
      </w:pPr>
      <w:r>
        <w:t xml:space="preserve">7. Key Things to Listen For on the Call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Magnitude of the Q2 beat</w:t>
      </w:r>
      <w:r>
        <w:t xml:space="preserve"> </w:t>
      </w:r>
      <w:r>
        <w:t xml:space="preserve">relative to VLO/MPC's blowout prints — does PSX's Refining segment show a similarly dramatic margin expansion, and did the mark-to-market drag reverse as modeled?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Market capture rate</w:t>
      </w:r>
      <w:r>
        <w:t xml:space="preserve"> </w:t>
      </w:r>
      <w:r>
        <w:t xml:space="preserve">— did it hold near the "mid-90s" guide, or did commercial optimization again push it materially higher as in Q1?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Forward guidance/tone on margin durability</w:t>
      </w:r>
      <w:r>
        <w:t xml:space="preserve"> </w:t>
      </w:r>
      <w:r>
        <w:t xml:space="preserve">now that Strait of Hormuz de-escalation headlines are pressuring crude and product prices — this is the single biggest swing factor for the stock reaction, since Q2's results are backward-looking but the multiple assigned to PSX reflects expectations for H2 2026 and 2027.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Debt paydown progress</w:t>
      </w:r>
      <w:r>
        <w:t xml:space="preserve"> </w:t>
      </w:r>
      <w:r>
        <w:t xml:space="preserve">and cash/liquidity trajectory now that volatility (and margin-call needs) may be easing.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Capital return cadence</w:t>
      </w:r>
      <w:r>
        <w:t xml:space="preserve"> </w:t>
      </w:r>
      <w:r>
        <w:t xml:space="preserve">— any acceleration in buybacks given the stock's strength, or a "balance sheet first" tone given still-elevated leverage.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Western Gateway FID timing</w:t>
      </w:r>
      <w:r>
        <w:t xml:space="preserve"> </w:t>
      </w:r>
      <w:r>
        <w:t xml:space="preserve">and any updates on CPChem's Middle East JV utilization as regional infrastructure potentially normalizes.</w:t>
      </w:r>
    </w:p>
    <w:p>
      <w:r>
        <w:pict>
          <v:rect style="width:0;height:1.5pt" o:hralign="center" o:hrstd="t" o:hr="t"/>
        </w:pict>
      </w:r>
    </w:p>
    <w:bookmarkStart w:id="15" w:name="bottom-line"/>
    <w:p>
      <w:pPr>
        <w:pStyle w:val="Heading3"/>
      </w:pPr>
      <w:r>
        <w:t xml:space="preserve">Bottom Line</w:t>
      </w:r>
    </w:p>
    <w:p>
      <w:pPr>
        <w:pStyle w:val="FirstParagraph"/>
      </w:pPr>
      <w:r>
        <w:t xml:space="preserve">PSX heads into Q2 earnings with consensus baked in for a</w:t>
      </w:r>
      <w:r>
        <w:t xml:space="preserve"> </w:t>
      </w:r>
      <w:r>
        <w:rPr>
          <w:b/>
          <w:bCs/>
        </w:rPr>
        <w:t xml:space="preserve">triple-digit percentage EPS beat YoY</w:t>
      </w:r>
      <w:r>
        <w:t xml:space="preserve"> </w:t>
      </w:r>
      <w:r>
        <w:t xml:space="preserve">(~</w:t>
      </w:r>
      <m:oMath>
        <m:r>
          <m:t>7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2.38 a year ago), full support from read-throughs at Valero and Marathon Petroleum showing historic refining margins, and a share price already up nearly 60% YTD pricing in much of that good news. The report itself is likely to be strong; the more important variable for the stock's reaction is</w:t>
      </w:r>
      <w:r>
        <w:t xml:space="preserve"> </w:t>
      </w:r>
      <w:r>
        <w:rPr>
          <w:b/>
          <w:bCs/>
        </w:rPr>
        <w:t xml:space="preserve">management's tone on margin sustainability</w:t>
      </w:r>
      <w:r>
        <w:t xml:space="preserve"> </w:t>
      </w:r>
      <w:r>
        <w:t xml:space="preserve">as Strait of Hormuz reopening talks progress and crude prices soften — a dynamic that could determine whether this becomes a "sell the news" event despite an almost-certain quarterly beat.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2026-08-05T00:39:33Z</dcterms:created>
  <dcterms:modified xsi:type="dcterms:W3CDTF">2026-08-05T00:39:33Z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