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df968e60337f9f0124823f1854f968a8d377b2"/>
    <w:p>
      <w:pPr>
        <w:pStyle w:val="Heading1"/>
      </w:pPr>
      <w:r>
        <w:t xml:space="preserve">Phillips 66 (PSX) — Q2 2026 Earnings Preview</w:t>
      </w:r>
    </w:p>
    <w:p>
      <w:pPr>
        <w:pStyle w:val="BlockText"/>
      </w:pPr>
      <w:r>
        <w:rPr>
          <w:b/>
          <w:bCs/>
        </w:rPr>
        <w:t xml:space="preserve">Timing note:</w:t>
      </w:r>
      <w:r>
        <w:t xml:space="preserve"> </w:t>
      </w:r>
      <w:r>
        <w:t xml:space="preserve">Phillips 66 is scheduled to release results</w:t>
      </w:r>
      <w:r>
        <w:t xml:space="preserve"> </w:t>
      </w:r>
      <w:r>
        <w:rPr>
          <w:b/>
          <w:bCs/>
        </w:rPr>
        <w:t xml:space="preserve">before the market opens on Wednesday, August 5, 2026</w:t>
      </w:r>
      <w:r>
        <w:t xml:space="preserve">, with its earnings call at</w:t>
      </w:r>
      <w:r>
        <w:t xml:space="preserve"> </w:t>
      </w:r>
      <w:r>
        <w:rPr>
          <w:b/>
          <w:bCs/>
        </w:rPr>
        <w:t xml:space="preserve">12:00 p.m. ET</w:t>
      </w:r>
      <w:r>
        <w:t xml:space="preserve">. Given today’s date, the report is scheduled for</w:t>
      </w:r>
      <w:r>
        <w:t xml:space="preserve"> </w:t>
      </w:r>
      <w:r>
        <w:rPr>
          <w:b/>
          <w:bCs/>
        </w:rPr>
        <w:t xml:space="preserve">today, not tomorrow</w:t>
      </w:r>
      <w:r>
        <w:t xml:space="preserve">. (</w:t>
      </w:r>
      <w:hyperlink r:id="rId9">
        <w:r>
          <w:rPr>
            <w:rStyle w:val="Hyperlink"/>
          </w:rPr>
          <w:t xml:space="preserve">investor.phillips66.com</w:t>
        </w:r>
      </w:hyperlink>
      <w:r>
        <w:t xml:space="preserve">)</w:t>
      </w:r>
    </w:p>
    <w:bookmarkStart w:id="10" w:name="investment-view-going-into-the-print"/>
    <w:p>
      <w:pPr>
        <w:pStyle w:val="Heading2"/>
      </w:pPr>
      <w:r>
        <w:t xml:space="preserve">Investment view going into the print</w:t>
      </w:r>
    </w:p>
    <w:p>
      <w:pPr>
        <w:pStyle w:val="FirstParagraph"/>
      </w:pPr>
      <w:r>
        <w:t xml:space="preserve">Phillips 66 should report a dramatic sequential earnings recovery as exceptionally strong refining margins overwhelm the weak Q1 comparison. The central question is no longer whether Q2 was good; it is whether PSX captured the environment as effectively as peers and converted the windfall into cash, lower debt and sustainable shareholder value.</w:t>
      </w:r>
    </w:p>
    <w:p>
      <w:pPr>
        <w:pStyle w:val="BodyText"/>
      </w:pPr>
      <w:r>
        <w:t xml:space="preserve">The setup appears favorable for an upside surprise. Valero, Marathon Petroleum and several smaller refiners have already beaten Q2 expectations by double-digit percentages. But expectations for PSX are now high, the shares have appreciated approximately 58% since the beginning of 2026, and investors will likely look beyond headline EPS toward refining capture, hedge accounting, working-capital recovery and the Q3 outlook.</w:t>
      </w:r>
    </w:p>
    <w:bookmarkEnd w:id="10"/>
    <w:bookmarkStart w:id="12" w:name="consensus-and-comparison-points"/>
    <w:p>
      <w:pPr>
        <w:pStyle w:val="Heading2"/>
      </w:pPr>
      <w:r>
        <w:t xml:space="preserve">Consensus and comparison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expectation / reference</w:t>
            </w:r>
          </w:p>
        </w:tc>
      </w:tr>
      <w:tr>
        <w:tc>
          <w:tcPr/>
          <w:p>
            <w:pPr>
              <w:pStyle w:val="Compact"/>
            </w:pPr>
            <w:r>
              <w:t xml:space="preserve">Adjusted EPS consensus</w:t>
            </w:r>
          </w:p>
        </w:tc>
        <w:tc>
          <w:tcPr/>
          <w:p>
            <w:pPr>
              <w:pStyle w:val="Compact"/>
              <w:jc w:val="right"/>
            </w:pPr>
            <w:r>
              <w:t xml:space="preserve">Approximately</w:t>
            </w:r>
            <w:r>
              <w:t xml:space="preserve"> </w:t>
            </w:r>
            <m:oMath>
              <m:r>
                <m:t>7.50</m:t>
              </m:r>
              <m:r>
                <m:rPr>
                  <m:sty m:val="p"/>
                </m:rPr>
                <m:t>–</m:t>
              </m:r>
            </m:oMath>
            <w:r>
              <w:rPr>
                <w:b/>
                <w:bCs/>
              </w:rPr>
              <w:t xml:space="preserve">7.70</w:t>
            </w:r>
          </w:p>
        </w:tc>
      </w:tr>
      <w:tr>
        <w:tc>
          <w:tcPr/>
          <w:p>
            <w:pPr>
              <w:pStyle w:val="Compact"/>
            </w:pPr>
            <w:r>
              <w:t xml:space="preserve">Revenue consensus</w:t>
            </w:r>
          </w:p>
        </w:tc>
        <w:tc>
          <w:tcPr/>
          <w:p>
            <w:pPr>
              <w:pStyle w:val="Compact"/>
              <w:jc w:val="right"/>
            </w:pPr>
            <w:r>
              <w:t xml:space="preserve">Approximately</w:t>
            </w:r>
            <w:r>
              <w:t xml:space="preserve"> </w:t>
            </w:r>
            <w:r>
              <w:rPr>
                <w:b/>
                <w:bCs/>
              </w:rPr>
              <w:t xml:space="preserve">$44 billion</w:t>
            </w:r>
          </w:p>
        </w:tc>
      </w:tr>
      <w:tr>
        <w:tc>
          <w:tcPr/>
          <w:p>
            <w:pPr>
              <w:pStyle w:val="Compact"/>
            </w:pPr>
            <w:r>
              <w:t xml:space="preserve">Q1 2026 adjusted EPS</w:t>
            </w:r>
          </w:p>
        </w:tc>
        <w:tc>
          <w:tcPr/>
          <w:p>
            <w:pPr>
              <w:pStyle w:val="Compact"/>
              <w:jc w:val="right"/>
            </w:pPr>
            <w:r>
              <w:rPr>
                <w:b/>
                <w:bCs/>
              </w:rPr>
              <w:t xml:space="preserve">$0.49</w:t>
            </w:r>
          </w:p>
        </w:tc>
      </w:tr>
      <w:tr>
        <w:tc>
          <w:tcPr/>
          <w:p>
            <w:pPr>
              <w:pStyle w:val="Compact"/>
            </w:pPr>
            <w:r>
              <w:t xml:space="preserve">Q2 2025 adjusted EPS</w:t>
            </w:r>
          </w:p>
        </w:tc>
        <w:tc>
          <w:tcPr/>
          <w:p>
            <w:pPr>
              <w:pStyle w:val="Compact"/>
              <w:jc w:val="right"/>
            </w:pPr>
            <w:r>
              <w:rPr>
                <w:b/>
                <w:bCs/>
              </w:rPr>
              <w:t xml:space="preserve">$2.38</w:t>
            </w:r>
          </w:p>
        </w:tc>
      </w:tr>
      <w:tr>
        <w:tc>
          <w:tcPr/>
          <w:p>
            <w:pPr>
              <w:pStyle w:val="Compact"/>
            </w:pPr>
            <w:r>
              <w:t xml:space="preserve">Q1 refining utilization</w:t>
            </w:r>
          </w:p>
        </w:tc>
        <w:tc>
          <w:tcPr/>
          <w:p>
            <w:pPr>
              <w:pStyle w:val="Compact"/>
              <w:jc w:val="right"/>
            </w:pPr>
            <w:r>
              <w:rPr>
                <w:b/>
                <w:bCs/>
              </w:rPr>
              <w:t xml:space="preserve">95%</w:t>
            </w:r>
          </w:p>
        </w:tc>
      </w:tr>
      <w:tr>
        <w:tc>
          <w:tcPr/>
          <w:p>
            <w:pPr>
              <w:pStyle w:val="Compact"/>
            </w:pPr>
            <w:r>
              <w:t xml:space="preserve">Q1 realized refining margin</w:t>
            </w:r>
          </w:p>
        </w:tc>
        <w:tc>
          <w:tcPr/>
          <w:p>
            <w:pPr>
              <w:pStyle w:val="Compact"/>
              <w:jc w:val="right"/>
            </w:pPr>
            <w:r>
              <w:rPr>
                <w:b/>
                <w:bCs/>
              </w:rPr>
              <w:t xml:space="preserve">$10.11/bbl</w:t>
            </w:r>
          </w:p>
        </w:tc>
      </w:tr>
      <w:tr>
        <w:tc>
          <w:tcPr/>
          <w:p>
            <w:pPr>
              <w:pStyle w:val="Compact"/>
            </w:pPr>
            <w:r>
              <w:t xml:space="preserve">Q2 refining-utilization guidance</w:t>
            </w:r>
          </w:p>
        </w:tc>
        <w:tc>
          <w:tcPr/>
          <w:p>
            <w:pPr>
              <w:pStyle w:val="Compact"/>
              <w:jc w:val="right"/>
            </w:pPr>
            <w:r>
              <w:rPr>
                <w:b/>
                <w:bCs/>
              </w:rPr>
              <w:t xml:space="preserve">Low-to-mid-90% range</w:t>
            </w:r>
          </w:p>
        </w:tc>
      </w:tr>
      <w:tr>
        <w:tc>
          <w:tcPr/>
          <w:p>
            <w:pPr>
              <w:pStyle w:val="Compact"/>
            </w:pPr>
            <w:r>
              <w:t xml:space="preserve">Q2 turnaround-expense guidance</w:t>
            </w:r>
          </w:p>
        </w:tc>
        <w:tc>
          <w:tcPr/>
          <w:p>
            <w:pPr>
              <w:pStyle w:val="Compact"/>
              <w:jc w:val="right"/>
            </w:pPr>
            <m:oMath>
              <m:r>
                <m:t>120</m:t>
              </m:r>
              <m:r>
                <m:t>m</m:t>
              </m:r>
              <m:r>
                <m:t>i</m:t>
              </m:r>
              <m:r>
                <m:t>l</m:t>
              </m:r>
              <m:r>
                <m:t>l</m:t>
              </m:r>
              <m:r>
                <m:t>i</m:t>
              </m:r>
              <m:r>
                <m:t>o</m:t>
              </m:r>
              <m:r>
                <m:t>n</m:t>
              </m:r>
              <m:r>
                <m:rPr>
                  <m:sty m:val="p"/>
                </m:rPr>
                <m:t>–</m:t>
              </m:r>
            </m:oMath>
            <w:r>
              <w:rPr>
                <w:b/>
                <w:bCs/>
              </w:rPr>
              <w:t xml:space="preserve">150 million</w:t>
            </w:r>
          </w:p>
        </w:tc>
      </w:tr>
      <w:tr>
        <w:tc>
          <w:tcPr/>
          <w:p>
            <w:pPr>
              <w:pStyle w:val="Compact"/>
            </w:pPr>
            <w:r>
              <w:t xml:space="preserve">Q2 Chemicals utilization guidance</w:t>
            </w:r>
          </w:p>
        </w:tc>
        <w:tc>
          <w:tcPr/>
          <w:p>
            <w:pPr>
              <w:pStyle w:val="Compact"/>
              <w:jc w:val="right"/>
            </w:pPr>
            <w:r>
              <w:rPr>
                <w:b/>
                <w:bCs/>
              </w:rPr>
              <w:t xml:space="preserve">Low-80% range</w:t>
            </w:r>
          </w:p>
        </w:tc>
      </w:tr>
      <w:tr>
        <w:tc>
          <w:tcPr/>
          <w:p>
            <w:pPr>
              <w:pStyle w:val="Compact"/>
            </w:pPr>
            <w:r>
              <w:t xml:space="preserve">Q2 Corporate and Other cost guidance</w:t>
            </w:r>
          </w:p>
        </w:tc>
        <w:tc>
          <w:tcPr/>
          <w:p>
            <w:pPr>
              <w:pStyle w:val="Compact"/>
              <w:jc w:val="right"/>
            </w:pPr>
            <m:oMath>
              <m:r>
                <m:t>430</m:t>
              </m:r>
              <m:r>
                <m:t>m</m:t>
              </m:r>
              <m:r>
                <m:t>i</m:t>
              </m:r>
              <m:r>
                <m:t>l</m:t>
              </m:r>
              <m:r>
                <m:t>l</m:t>
              </m:r>
              <m:r>
                <m:t>i</m:t>
              </m:r>
              <m:r>
                <m:t>o</m:t>
              </m:r>
              <m:r>
                <m:t>n</m:t>
              </m:r>
              <m:r>
                <m:rPr>
                  <m:sty m:val="p"/>
                </m:rPr>
                <m:t>–</m:t>
              </m:r>
            </m:oMath>
            <w:r>
              <w:rPr>
                <w:b/>
                <w:bCs/>
              </w:rPr>
              <w:t xml:space="preserve">450 million</w:t>
            </w:r>
          </w:p>
        </w:tc>
      </w:tr>
    </w:tbl>
    <w:p>
      <w:pPr>
        <w:pStyle w:val="BodyText"/>
      </w:pPr>
      <w:r>
        <w:t xml:space="preserve">Broader consensus sources place Q2 adjusted EPS near $7.51, with revenue around $44.15 billion. The narrower estimate set tracked by Barchart is somewhat higher at $7.68. (</w:t>
      </w:r>
      <w:hyperlink r:id="rId11">
        <w:r>
          <w:rPr>
            <w:rStyle w:val="Hyperlink"/>
          </w:rPr>
          <w:t xml:space="preserve">barchart.com</w:t>
        </w:r>
      </w:hyperlink>
      <w:r>
        <w:t xml:space="preserve">)</w:t>
      </w:r>
    </w:p>
    <w:bookmarkEnd w:id="12"/>
    <w:bookmarkStart w:id="23" w:name="the-five-issues-that-matter-most"/>
    <w:p>
      <w:pPr>
        <w:pStyle w:val="Heading2"/>
      </w:pPr>
      <w:r>
        <w:t xml:space="preserve">The five issues that matter most</w:t>
      </w:r>
    </w:p>
    <w:bookmarkStart w:id="16" w:name="X5c1ad07c6761d4fddab8e95d30bc59905d0b6ce"/>
    <w:p>
      <w:pPr>
        <w:pStyle w:val="Heading3"/>
      </w:pPr>
      <w:r>
        <w:t xml:space="preserve">1. Refining capture—not simply benchmark margins</w:t>
      </w:r>
    </w:p>
    <w:p>
      <w:pPr>
        <w:pStyle w:val="FirstParagraph"/>
      </w:pPr>
      <w:r>
        <w:t xml:space="preserve">Q2 refining conditions were extraordinarily favorable. Valero reported $12.54 of adjusted EPS versus roughly $10.21 expected, while Marathon Petroleum earned $17.73 versus approximately $13.86 expected. Those results establish a strong read-through for PSX but also raise the bar: a merely in-line result could be viewed as an execution or capture shortfall. (</w:t>
      </w:r>
      <w:hyperlink r:id="rId13">
        <w:r>
          <w:rPr>
            <w:rStyle w:val="Hyperlink"/>
          </w:rPr>
          <w:t xml:space="preserve">fxempire.com</w:t>
        </w:r>
      </w:hyperlink>
      <w:r>
        <w:t xml:space="preserve">)</w:t>
      </w:r>
    </w:p>
    <w:p>
      <w:pPr>
        <w:pStyle w:val="BodyText"/>
      </w:pPr>
      <w:r>
        <w:t xml:space="preserve">PSX entered the quarter from a strong operating position. It ran at 95% utilization in Q1, produced an 87% clean-product yield and achieved 138% market capture, helped by commercial optimization, crude placement, shipping positions, product differentials and inventory effects. (</w:t>
      </w:r>
      <w:hyperlink r:id="rId14">
        <w:r>
          <w:rPr>
            <w:rStyle w:val="Hyperlink"/>
          </w:rPr>
          <w:t xml:space="preserve">s22.q4cdn.com</w:t>
        </w:r>
      </w:hyperlink>
      <w:r>
        <w:t xml:space="preserve">)</w:t>
      </w:r>
    </w:p>
    <w:p>
      <w:pPr>
        <w:pStyle w:val="BodyText"/>
      </w:pPr>
      <w:r>
        <w:t xml:space="preserve">Management nevertheless identified</w:t>
      </w:r>
      <w:r>
        <w:t xml:space="preserve"> </w:t>
      </w:r>
      <w:r>
        <w:rPr>
          <w:b/>
          <w:bCs/>
        </w:rPr>
        <w:t xml:space="preserve">mid-90% capture</w:t>
      </w:r>
      <w:r>
        <w:t xml:space="preserve"> </w:t>
      </w:r>
      <w:r>
        <w:t xml:space="preserve">as the reasonable Q2 starting point, noting that backwardation, inventory timing and turnaround activity would be offsets. (</w:t>
      </w:r>
      <w:hyperlink r:id="rId15">
        <w:r>
          <w:rPr>
            <w:rStyle w:val="Hyperlink"/>
          </w:rPr>
          <w:t xml:space="preserve">s22.q4cdn.com</w:t>
        </w:r>
      </w:hyperlink>
      <w:r>
        <w:t xml:space="preserve">)</w:t>
      </w:r>
    </w:p>
    <w:p>
      <w:pPr>
        <w:pStyle w:val="BodyText"/>
      </w:pPr>
      <w:r>
        <w:t xml:space="preserve">Investors should focus on:</w:t>
      </w:r>
    </w:p>
    <w:p>
      <w:pPr>
        <w:pStyle w:val="Compact"/>
        <w:numPr>
          <w:ilvl w:val="0"/>
          <w:numId w:val="1001"/>
        </w:numPr>
      </w:pPr>
      <w:r>
        <w:t xml:space="preserve">Worldwide utilization relative to the low-to-mid-90% guide.</w:t>
      </w:r>
    </w:p>
    <w:p>
      <w:pPr>
        <w:pStyle w:val="Compact"/>
        <w:numPr>
          <w:ilvl w:val="0"/>
          <w:numId w:val="1001"/>
        </w:numPr>
      </w:pPr>
      <w:r>
        <w:t xml:space="preserve">Realized refining margin per barrel.</w:t>
      </w:r>
    </w:p>
    <w:p>
      <w:pPr>
        <w:pStyle w:val="Compact"/>
        <w:numPr>
          <w:ilvl w:val="0"/>
          <w:numId w:val="1001"/>
        </w:numPr>
      </w:pPr>
      <w:r>
        <w:t xml:space="preserve">Market capture relative to the mid-90% starting point.</w:t>
      </w:r>
    </w:p>
    <w:p>
      <w:pPr>
        <w:pStyle w:val="Compact"/>
        <w:numPr>
          <w:ilvl w:val="0"/>
          <w:numId w:val="1001"/>
        </w:numPr>
      </w:pPr>
      <w:r>
        <w:t xml:space="preserve">Central Corridor performance, including Wood River and Borger.</w:t>
      </w:r>
    </w:p>
    <w:p>
      <w:pPr>
        <w:pStyle w:val="Compact"/>
        <w:numPr>
          <w:ilvl w:val="0"/>
          <w:numId w:val="1001"/>
        </w:numPr>
      </w:pPr>
      <w:r>
        <w:t xml:space="preserve">Benefits from wider Canadian-heavy crude differentials.</w:t>
      </w:r>
    </w:p>
    <w:p>
      <w:pPr>
        <w:pStyle w:val="Compact"/>
        <w:numPr>
          <w:ilvl w:val="0"/>
          <w:numId w:val="1001"/>
        </w:numPr>
      </w:pPr>
      <w:r>
        <w:t xml:space="preserve">Whether elevated freight costs were mitigated by PSX’s term-charter positions.</w:t>
      </w:r>
    </w:p>
    <w:p>
      <w:pPr>
        <w:pStyle w:val="FirstParagraph"/>
      </w:pPr>
      <w:r>
        <w:t xml:space="preserve">PSX estimates that each $1-per-barrel widening in the WTI-WCS differential adds approximately $140 million of annual earnings, making crude sourcing another potentially important upside contributor. (</w:t>
      </w:r>
      <w:hyperlink r:id="rId15">
        <w:r>
          <w:rPr>
            <w:rStyle w:val="Hyperlink"/>
          </w:rPr>
          <w:t xml:space="preserve">s22.q4cdn.com</w:t>
        </w:r>
      </w:hyperlink>
      <w:r>
        <w:t xml:space="preserve">)</w:t>
      </w:r>
    </w:p>
    <w:bookmarkEnd w:id="16"/>
    <w:bookmarkStart w:id="17" w:name="Xba16d0de7a0236502f10b3544928d6e655ef5c7"/>
    <w:p>
      <w:pPr>
        <w:pStyle w:val="Heading3"/>
      </w:pPr>
      <w:r>
        <w:t xml:space="preserve">2. Hedge losses and the working-capital unwind</w:t>
      </w:r>
    </w:p>
    <w:p>
      <w:pPr>
        <w:pStyle w:val="FirstParagraph"/>
      </w:pPr>
      <w:r>
        <w:t xml:space="preserve">Q1’s</w:t>
      </w:r>
      <w:r>
        <w:t xml:space="preserve"> </w:t>
      </w:r>
      <m:oMath>
        <m:r>
          <m:t>0.49</m:t>
        </m:r>
        <m:r>
          <m:t>a</m:t>
        </m:r>
        <m:r>
          <m:t>d</m:t>
        </m:r>
        <m:r>
          <m:t>j</m:t>
        </m:r>
        <m:r>
          <m:t>u</m:t>
        </m:r>
        <m:r>
          <m:t>s</m:t>
        </m:r>
        <m:r>
          <m:t>t</m:t>
        </m:r>
        <m:r>
          <m:t>e</m:t>
        </m:r>
        <m:r>
          <m:t>d</m:t>
        </m:r>
        <m:r>
          <m:t>E</m:t>
        </m:r>
        <m:r>
          <m:t>P</m:t>
        </m:r>
        <m:r>
          <m:t>S</m:t>
        </m:r>
        <m:r>
          <m:t>u</m:t>
        </m:r>
        <m:r>
          <m:t>n</m:t>
        </m:r>
        <m:r>
          <m:t>d</m:t>
        </m:r>
        <m:r>
          <m:t>e</m:t>
        </m:r>
        <m:r>
          <m:t>r</m:t>
        </m:r>
        <m:r>
          <m:t>s</m:t>
        </m:r>
        <m:r>
          <m:t>t</m:t>
        </m:r>
        <m:r>
          <m:t>a</m:t>
        </m:r>
        <m:r>
          <m:t>t</m:t>
        </m:r>
        <m:r>
          <m:t>e</m:t>
        </m:r>
        <m:r>
          <m:t>d</m:t>
        </m:r>
        <m:r>
          <m:t>t</m:t>
        </m:r>
        <m:r>
          <m:t>h</m:t>
        </m:r>
        <m:r>
          <m:t>e</m:t>
        </m:r>
        <m:r>
          <m:t>e</m:t>
        </m:r>
        <m:r>
          <m:t>c</m:t>
        </m:r>
        <m:r>
          <m:t>o</m:t>
        </m:r>
        <m:r>
          <m:t>n</m:t>
        </m:r>
        <m:r>
          <m:t>o</m:t>
        </m:r>
        <m:r>
          <m:t>m</m:t>
        </m:r>
        <m:r>
          <m:t>i</m:t>
        </m:r>
        <m:r>
          <m:t>c</m:t>
        </m:r>
        <m:r>
          <m:t>s</m:t>
        </m:r>
        <m:r>
          <m:t>o</m:t>
        </m:r>
        <m:r>
          <m:t>f</m:t>
        </m:r>
        <m:r>
          <m:t>t</m:t>
        </m:r>
        <m:r>
          <m:t>h</m:t>
        </m:r>
        <m:r>
          <m:t>e</m:t>
        </m:r>
        <m:r>
          <m:t>b</m:t>
        </m:r>
        <m:r>
          <m:t>u</m:t>
        </m:r>
        <m:r>
          <m:t>s</m:t>
        </m:r>
        <m:r>
          <m:t>i</m:t>
        </m:r>
        <m:r>
          <m:t>n</m:t>
        </m:r>
        <m:r>
          <m:t>e</m:t>
        </m:r>
        <m:r>
          <m:t>s</m:t>
        </m:r>
        <m:r>
          <m:t>s</m:t>
        </m:r>
        <m:r>
          <m:t>b</m:t>
        </m:r>
        <m:r>
          <m:t>e</m:t>
        </m:r>
        <m:r>
          <m:t>c</m:t>
        </m:r>
        <m:r>
          <m:t>a</m:t>
        </m:r>
        <m:r>
          <m:t>u</m:t>
        </m:r>
        <m:r>
          <m:t>s</m:t>
        </m:r>
        <m:r>
          <m:t>e</m:t>
        </m:r>
        <m:r>
          <m:t>r</m:t>
        </m:r>
        <m:r>
          <m:t>e</m:t>
        </m:r>
        <m:r>
          <m:t>s</m:t>
        </m:r>
        <m:r>
          <m:t>u</m:t>
        </m:r>
        <m:r>
          <m:t>l</m:t>
        </m:r>
        <m:r>
          <m:t>t</m:t>
        </m:r>
        <m:r>
          <m:t>s</m:t>
        </m:r>
        <m:r>
          <m:t>i</m:t>
        </m:r>
        <m:r>
          <m:t>n</m:t>
        </m:r>
        <m:r>
          <m:t>c</m:t>
        </m:r>
        <m:r>
          <m:t>l</m:t>
        </m:r>
        <m:r>
          <m:t>u</m:t>
        </m:r>
        <m:r>
          <m:t>d</m:t>
        </m:r>
        <m:r>
          <m:t>e</m:t>
        </m:r>
        <m:r>
          <m:t>d</m:t>
        </m:r>
        <m:r>
          <m:rPr>
            <m:sty m:val="p"/>
          </m:rPr>
          <m:t>*</m:t>
        </m:r>
        <m:r>
          <m:rPr>
            <m:sty m:val="p"/>
          </m:rPr>
          <m:t>*</m:t>
        </m:r>
      </m:oMath>
      <w:r>
        <w:t xml:space="preserve">839 million of mark-to-market losses** on derivatives used to hedge physical inventory. The corresponding physical gains were not recognized simultaneously under LIFO accounting. PSX also had $3.2 billion of cash posted as derivative collateral at March 31.</w:t>
      </w:r>
    </w:p>
    <w:p>
      <w:pPr>
        <w:pStyle w:val="BodyText"/>
      </w:pPr>
      <w:r>
        <w:t xml:space="preserve">By April 28, posted collateral had already declined to approximately $2.1 billion. Management also said the forward curve at the time suggested roughly $500 million of the Q1 mark-to-market loss could be recovered by year-end, although the timing would vary by commodity and quarter. (</w:t>
      </w:r>
      <w:hyperlink r:id="rId15">
        <w:r>
          <w:rPr>
            <w:rStyle w:val="Hyperlink"/>
          </w:rPr>
          <w:t xml:space="preserve">s22.q4cdn.com</w:t>
        </w:r>
      </w:hyperlink>
      <w:r>
        <w:t xml:space="preserve">)</w:t>
      </w:r>
    </w:p>
    <w:p>
      <w:pPr>
        <w:pStyle w:val="BodyText"/>
      </w:pPr>
      <w:r>
        <w:t xml:space="preserve">This creates two separate Q2 questions:</w:t>
      </w:r>
    </w:p>
    <w:p>
      <w:pPr>
        <w:pStyle w:val="Compact"/>
        <w:numPr>
          <w:ilvl w:val="0"/>
          <w:numId w:val="1002"/>
        </w:numPr>
      </w:pPr>
      <w:r>
        <w:rPr>
          <w:b/>
          <w:bCs/>
        </w:rPr>
        <w:t xml:space="preserve">Income statement:</w:t>
      </w:r>
      <w:r>
        <w:t xml:space="preserve"> </w:t>
      </w:r>
      <w:r>
        <w:t xml:space="preserve">How much of the Q1 derivative loss reversed?</w:t>
      </w:r>
    </w:p>
    <w:p>
      <w:pPr>
        <w:pStyle w:val="Compact"/>
        <w:numPr>
          <w:ilvl w:val="0"/>
          <w:numId w:val="1002"/>
        </w:numPr>
      </w:pPr>
      <w:r>
        <w:rPr>
          <w:b/>
          <w:bCs/>
        </w:rPr>
        <w:t xml:space="preserve">Cash flow:</w:t>
      </w:r>
      <w:r>
        <w:t xml:space="preserve"> </w:t>
      </w:r>
      <w:r>
        <w:t xml:space="preserve">How much collateral and inventory working capital returned?</w:t>
      </w:r>
    </w:p>
    <w:p>
      <w:pPr>
        <w:pStyle w:val="FirstParagraph"/>
      </w:pPr>
      <w:r>
        <w:t xml:space="preserve">A large EPS beat accompanied by weak cash generation would be lower quality than an equivalent beat with a substantial working-capital release.</w:t>
      </w:r>
    </w:p>
    <w:bookmarkEnd w:id="17"/>
    <w:bookmarkStart w:id="19" w:name="Xa8717f7c49ae2dd1ce069b4b988dcba7a9a7703"/>
    <w:p>
      <w:pPr>
        <w:pStyle w:val="Heading3"/>
      </w:pPr>
      <w:r>
        <w:t xml:space="preserve">3. Balance-sheet repair</w:t>
      </w:r>
    </w:p>
    <w:p>
      <w:pPr>
        <w:pStyle w:val="FirstParagraph"/>
      </w:pPr>
      <w:r>
        <w:t xml:space="preserve">PSX ended Q1 with:</w:t>
      </w:r>
    </w:p>
    <w:p>
      <w:pPr>
        <w:pStyle w:val="Compact"/>
        <w:numPr>
          <w:ilvl w:val="0"/>
          <w:numId w:val="1003"/>
        </w:numPr>
      </w:pPr>
      <w:r>
        <w:rPr>
          <w:b/>
          <w:bCs/>
        </w:rPr>
        <w:t xml:space="preserve">$27.1 billion of total debt</w:t>
      </w:r>
    </w:p>
    <w:p>
      <w:pPr>
        <w:pStyle w:val="Compact"/>
        <w:numPr>
          <w:ilvl w:val="0"/>
          <w:numId w:val="1003"/>
        </w:numPr>
      </w:pPr>
      <w:r>
        <w:rPr>
          <w:b/>
          <w:bCs/>
        </w:rPr>
        <w:t xml:space="preserve">$5.2 billion of cash</w:t>
      </w:r>
    </w:p>
    <w:p>
      <w:pPr>
        <w:pStyle w:val="Compact"/>
        <w:numPr>
          <w:ilvl w:val="0"/>
          <w:numId w:val="1003"/>
        </w:numPr>
      </w:pPr>
      <w:r>
        <w:rPr>
          <w:b/>
          <w:bCs/>
        </w:rPr>
        <w:t xml:space="preserve">48% debt-to-capital</w:t>
      </w:r>
    </w:p>
    <w:p>
      <w:pPr>
        <w:pStyle w:val="Compact"/>
        <w:numPr>
          <w:ilvl w:val="0"/>
          <w:numId w:val="1003"/>
        </w:numPr>
      </w:pPr>
      <w:r>
        <w:rPr>
          <w:b/>
          <w:bCs/>
        </w:rPr>
        <w:t xml:space="preserve">43% net debt-to-capital</w:t>
      </w:r>
    </w:p>
    <w:p>
      <w:pPr>
        <w:pStyle w:val="FirstParagraph"/>
      </w:pPr>
      <w:r>
        <w:t xml:space="preserve">The elevated gross debt largely reflected defensive borrowing and liquidity management during the commodity-price shock. Management’s plan calls for total debt of approximately</w:t>
      </w:r>
      <w:r>
        <w:t xml:space="preserve"> </w:t>
      </w:r>
      <m:oMath>
        <m:r>
          <m:t>19</m:t>
        </m:r>
        <m:r>
          <m:t>b</m:t>
        </m:r>
        <m:r>
          <m:t>i</m:t>
        </m:r>
        <m:r>
          <m:t>l</m:t>
        </m:r>
        <m:r>
          <m:t>l</m:t>
        </m:r>
        <m:r>
          <m:t>i</m:t>
        </m:r>
        <m:r>
          <m:t>o</m:t>
        </m:r>
        <m:r>
          <m:t>n</m:t>
        </m:r>
        <m:r>
          <m:t>a</m:t>
        </m:r>
        <m:r>
          <m:t>t</m:t>
        </m:r>
        <m:r>
          <m:t>y</m:t>
        </m:r>
        <m:r>
          <m:t>e</m:t>
        </m:r>
        <m:r>
          <m:t>a</m:t>
        </m:r>
        <m:r>
          <m:t>r</m:t>
        </m:r>
        <m:r>
          <m:rPr>
            <m:sty m:val="p"/>
          </m:rPr>
          <m:t>−</m:t>
        </m:r>
        <m:r>
          <m:t>e</m:t>
        </m:r>
        <m:r>
          <m:t>n</m:t>
        </m:r>
        <m:r>
          <m:t>d</m:t>
        </m:r>
        <m:r>
          <m:t>2026</m:t>
        </m:r>
        <m:r>
          <m:rPr>
            <m:sty m:val="p"/>
          </m:rPr>
          <m:t>*</m:t>
        </m:r>
        <m:r>
          <m:rPr>
            <m:sty m:val="p"/>
          </m:rPr>
          <m:t>*</m:t>
        </m:r>
        <m:r>
          <m:t>a</m:t>
        </m:r>
        <m:r>
          <m:t>n</m:t>
        </m:r>
        <m:r>
          <m:t>d</m:t>
        </m:r>
        <m:r>
          <m:rPr>
            <m:sty m:val="p"/>
          </m:rPr>
          <m:t>*</m:t>
        </m:r>
        <m:r>
          <m:rPr>
            <m:sty m:val="p"/>
          </m:rPr>
          <m:t>*</m:t>
        </m:r>
      </m:oMath>
      <w:r>
        <w:rPr>
          <w:b/>
          <w:bCs/>
        </w:rPr>
        <w:t xml:space="preserve">17 billion at year-end 2027</w:t>
      </w:r>
      <w:r>
        <w:t xml:space="preserve">, while still returning more than 50% of operating cash flow excluding working capital to shareholders. (</w:t>
      </w:r>
      <w:hyperlink r:id="rId14">
        <w:r>
          <w:rPr>
            <w:rStyle w:val="Hyperlink"/>
          </w:rPr>
          <w:t xml:space="preserve">s22.q4cdn.com</w:t>
        </w:r>
      </w:hyperlink>
      <w:r>
        <w:t xml:space="preserve">)</w:t>
      </w:r>
    </w:p>
    <w:p>
      <w:pPr>
        <w:pStyle w:val="BodyText"/>
      </w:pPr>
      <w:r>
        <w:t xml:space="preserve">Q2 is therefore an important credibility test. Investors should look for:</w:t>
      </w:r>
    </w:p>
    <w:p>
      <w:pPr>
        <w:pStyle w:val="Compact"/>
        <w:numPr>
          <w:ilvl w:val="0"/>
          <w:numId w:val="1004"/>
        </w:numPr>
      </w:pPr>
      <w:r>
        <w:t xml:space="preserve">A meaningful reduction in gross debt from $27.1 billion.</w:t>
      </w:r>
    </w:p>
    <w:p>
      <w:pPr>
        <w:pStyle w:val="Compact"/>
        <w:numPr>
          <w:ilvl w:val="0"/>
          <w:numId w:val="1004"/>
        </w:numPr>
      </w:pPr>
      <w:r>
        <w:t xml:space="preserve">Lower commercial-paper and short-term borrowing.</w:t>
      </w:r>
    </w:p>
    <w:p>
      <w:pPr>
        <w:pStyle w:val="Compact"/>
        <w:numPr>
          <w:ilvl w:val="0"/>
          <w:numId w:val="1004"/>
        </w:numPr>
      </w:pPr>
      <w:r>
        <w:t xml:space="preserve">Normalization of the unusually large cash balance.</w:t>
      </w:r>
    </w:p>
    <w:p>
      <w:pPr>
        <w:pStyle w:val="Compact"/>
        <w:numPr>
          <w:ilvl w:val="0"/>
          <w:numId w:val="1004"/>
        </w:numPr>
      </w:pPr>
      <w:r>
        <w:t xml:space="preserve">Confirmation of the $19 billion year-end target.</w:t>
      </w:r>
    </w:p>
    <w:p>
      <w:pPr>
        <w:pStyle w:val="Compact"/>
        <w:numPr>
          <w:ilvl w:val="0"/>
          <w:numId w:val="1004"/>
        </w:numPr>
      </w:pPr>
      <w:r>
        <w:t xml:space="preserve">Management’s preference between accelerated debt reduction and repurchases.</w:t>
      </w:r>
    </w:p>
    <w:p>
      <w:pPr>
        <w:pStyle w:val="FirstParagraph"/>
      </w:pPr>
      <w:r>
        <w:t xml:space="preserve">The company’s June investor update reiterated its $17 billion debt target, sub-30% net-debt-to-capital objective and greater-than-50% shareholder-return commitment. (</w:t>
      </w:r>
      <w:hyperlink r:id="rId18">
        <w:r>
          <w:rPr>
            <w:rStyle w:val="Hyperlink"/>
          </w:rPr>
          <w:t xml:space="preserve">s22.q4cdn.com</w:t>
        </w:r>
      </w:hyperlink>
      <w:r>
        <w:t xml:space="preserve">)</w:t>
      </w:r>
    </w:p>
    <w:bookmarkEnd w:id="19"/>
    <w:bookmarkStart w:id="20" w:name="X535f865ceb8e338d5f72f0795f69988aeedf784"/>
    <w:p>
      <w:pPr>
        <w:pStyle w:val="Heading3"/>
      </w:pPr>
      <w:r>
        <w:t xml:space="preserve">4. Chemicals and renewable fuels could provide additional upside</w:t>
      </w:r>
    </w:p>
    <w:p>
      <w:pPr>
        <w:pStyle w:val="FirstParagraph"/>
      </w:pPr>
      <w:r>
        <w:rPr>
          <w:b/>
          <w:bCs/>
        </w:rPr>
        <w:t xml:space="preserve">Chemicals:</w:t>
      </w:r>
      <w:r>
        <w:t xml:space="preserve"> </w:t>
      </w:r>
      <w:r>
        <w:t xml:space="preserve">Management guided CPChem’s global olefins and polyolefins utilization to the low-80% range because of uncertainty at Middle Eastern joint ventures. That volume headwind may be offset by significantly stronger polyethylene-chain margins and the cost advantage of CPChem’s U.S. Gulf Coast assets. More than 80% of CPChem’s capacity is in the United States, where ethane feedstock remains advantaged relative to oil-linked global producers. (</w:t>
      </w:r>
      <w:hyperlink r:id="rId14">
        <w:r>
          <w:rPr>
            <w:rStyle w:val="Hyperlink"/>
          </w:rPr>
          <w:t xml:space="preserve">s22.q4cdn.com</w:t>
        </w:r>
      </w:hyperlink>
      <w:r>
        <w:t xml:space="preserve">)</w:t>
      </w:r>
    </w:p>
    <w:p>
      <w:pPr>
        <w:pStyle w:val="BodyText"/>
      </w:pPr>
      <w:r>
        <w:rPr>
          <w:b/>
          <w:bCs/>
        </w:rPr>
        <w:t xml:space="preserve">Renewable Fuels:</w:t>
      </w:r>
      <w:r>
        <w:t xml:space="preserve"> </w:t>
      </w:r>
      <w:r>
        <w:t xml:space="preserve">This segment lost $41 million before tax in Q1, but management subsequently said blended RIN values had more than doubled from 2025 levels and the Rodeo complex was operating above nameplate capacity. That points to a potentially material sequential and year-over-year improvement. (</w:t>
      </w:r>
      <w:hyperlink r:id="rId15">
        <w:r>
          <w:rPr>
            <w:rStyle w:val="Hyperlink"/>
          </w:rPr>
          <w:t xml:space="preserve">s22.q4cdn.com</w:t>
        </w:r>
      </w:hyperlink>
      <w:r>
        <w:t xml:space="preserve">)</w:t>
      </w:r>
    </w:p>
    <w:p>
      <w:pPr>
        <w:pStyle w:val="BodyText"/>
      </w:pPr>
      <w:r>
        <w:t xml:space="preserve">A strong renewable-fuels contribution would make the Q2 beat broader and higher quality rather than entirely dependent on conventional refining.</w:t>
      </w:r>
    </w:p>
    <w:bookmarkEnd w:id="20"/>
    <w:bookmarkStart w:id="22" w:name="Xe179e7788dd6712a707d18990137b01def9c748"/>
    <w:p>
      <w:pPr>
        <w:pStyle w:val="Heading3"/>
      </w:pPr>
      <w:r>
        <w:t xml:space="preserve">5. Q3 commentary may matter more than Q2 EPS</w:t>
      </w:r>
    </w:p>
    <w:p>
      <w:pPr>
        <w:pStyle w:val="FirstParagraph"/>
      </w:pPr>
      <w:r>
        <w:t xml:space="preserve">The current consensus already assumes a highly profitable quarter, and peer results have made a beat less surprising. The stock reaction may depend more heavily on what management says about:</w:t>
      </w:r>
    </w:p>
    <w:p>
      <w:pPr>
        <w:pStyle w:val="Compact"/>
        <w:numPr>
          <w:ilvl w:val="0"/>
          <w:numId w:val="1005"/>
        </w:numPr>
      </w:pPr>
      <w:r>
        <w:t xml:space="preserve">Current gasoline, diesel and jet-fuel demand.</w:t>
      </w:r>
    </w:p>
    <w:p>
      <w:pPr>
        <w:pStyle w:val="Compact"/>
        <w:numPr>
          <w:ilvl w:val="0"/>
          <w:numId w:val="1005"/>
        </w:numPr>
      </w:pPr>
      <w:r>
        <w:t xml:space="preserve">Refining margins into the autumn maintenance season.</w:t>
      </w:r>
    </w:p>
    <w:p>
      <w:pPr>
        <w:pStyle w:val="Compact"/>
        <w:numPr>
          <w:ilvl w:val="0"/>
          <w:numId w:val="1005"/>
        </w:numPr>
      </w:pPr>
      <w:r>
        <w:t xml:space="preserve">The durability of commercial and freight advantages.</w:t>
      </w:r>
    </w:p>
    <w:p>
      <w:pPr>
        <w:pStyle w:val="Compact"/>
        <w:numPr>
          <w:ilvl w:val="0"/>
          <w:numId w:val="1005"/>
        </w:numPr>
      </w:pPr>
      <w:r>
        <w:t xml:space="preserve">Potential demand destruction from high product prices.</w:t>
      </w:r>
    </w:p>
    <w:p>
      <w:pPr>
        <w:pStyle w:val="Compact"/>
        <w:numPr>
          <w:ilvl w:val="0"/>
          <w:numId w:val="1005"/>
        </w:numPr>
      </w:pPr>
      <w:r>
        <w:t xml:space="preserve">Chemicals margins as Middle Eastern production returns.</w:t>
      </w:r>
    </w:p>
    <w:p>
      <w:pPr>
        <w:pStyle w:val="Compact"/>
        <w:numPr>
          <w:ilvl w:val="0"/>
          <w:numId w:val="1005"/>
        </w:numPr>
      </w:pPr>
      <w:r>
        <w:t xml:space="preserve">The pace of collateral and working-capital normalization.</w:t>
      </w:r>
    </w:p>
    <w:p>
      <w:pPr>
        <w:pStyle w:val="FirstParagraph"/>
      </w:pPr>
      <w:r>
        <w:t xml:space="preserve">This is especially important because Iran and Oman were reportedly making progress as of August 4 toward reopening the Strait of Hormuz. A reopening would reduce the geopolitical premium embedded in crude and product markets, although restoring normal physical flows could take time. (</w:t>
      </w:r>
      <w:hyperlink r:id="rId21">
        <w:r>
          <w:rPr>
            <w:rStyle w:val="Hyperlink"/>
          </w:rPr>
          <w:t xml:space="preserve">apnews.com</w:t>
        </w:r>
      </w:hyperlink>
      <w:r>
        <w:t xml:space="preserve">)</w:t>
      </w:r>
    </w:p>
    <w:bookmarkEnd w:id="22"/>
    <w:bookmarkEnd w:id="23"/>
    <w:bookmarkStart w:id="24" w:name="what-would-constitute-a-strong-report"/>
    <w:p>
      <w:pPr>
        <w:pStyle w:val="Heading2"/>
      </w:pPr>
      <w:r>
        <w:t xml:space="preserve">What would constitute a strong report?</w:t>
      </w:r>
    </w:p>
    <w:p>
      <w:pPr>
        <w:pStyle w:val="FirstParagraph"/>
      </w:pPr>
      <w:r>
        <w:t xml:space="preserve">A clearly positive result would likely include:</w:t>
      </w:r>
    </w:p>
    <w:p>
      <w:pPr>
        <w:pStyle w:val="Compact"/>
        <w:numPr>
          <w:ilvl w:val="0"/>
          <w:numId w:val="1006"/>
        </w:numPr>
      </w:pPr>
      <w:r>
        <w:t xml:space="preserve">Adjusted EPS above the roughly</w:t>
      </w:r>
      <w:r>
        <w:t xml:space="preserve"> </w:t>
      </w:r>
      <m:oMath>
        <m:r>
          <m:t>7.50</m:t>
        </m:r>
        <m:r>
          <m:rPr>
            <m:sty m:val="p"/>
          </m:rPr>
          <m:t>–</m:t>
        </m:r>
      </m:oMath>
      <w:r>
        <w:t xml:space="preserve">7.70 consensus range.</w:t>
      </w:r>
    </w:p>
    <w:p>
      <w:pPr>
        <w:pStyle w:val="Compact"/>
        <w:numPr>
          <w:ilvl w:val="0"/>
          <w:numId w:val="1006"/>
        </w:numPr>
      </w:pPr>
      <w:r>
        <w:t xml:space="preserve">Refining utilization near or above 95%.</w:t>
      </w:r>
    </w:p>
    <w:p>
      <w:pPr>
        <w:pStyle w:val="Compact"/>
        <w:numPr>
          <w:ilvl w:val="0"/>
          <w:numId w:val="1006"/>
        </w:numPr>
      </w:pPr>
      <w:r>
        <w:t xml:space="preserve">Market capture at least around 100%, despite backwardation and turnarounds.</w:t>
      </w:r>
    </w:p>
    <w:p>
      <w:pPr>
        <w:pStyle w:val="Compact"/>
        <w:numPr>
          <w:ilvl w:val="0"/>
          <w:numId w:val="1006"/>
        </w:numPr>
      </w:pPr>
      <w:r>
        <w:t xml:space="preserve">A substantial reversal of Q1 hedge and working-capital effects.</w:t>
      </w:r>
    </w:p>
    <w:p>
      <w:pPr>
        <w:pStyle w:val="Compact"/>
        <w:numPr>
          <w:ilvl w:val="0"/>
          <w:numId w:val="1006"/>
        </w:numPr>
      </w:pPr>
      <w:r>
        <w:t xml:space="preserve">Strong operating cash flow and visible debt reduction.</w:t>
      </w:r>
    </w:p>
    <w:p>
      <w:pPr>
        <w:pStyle w:val="Compact"/>
        <w:numPr>
          <w:ilvl w:val="0"/>
          <w:numId w:val="1006"/>
        </w:numPr>
      </w:pPr>
      <w:r>
        <w:t xml:space="preserve">Positive Chemicals and Renewable Fuels inflections.</w:t>
      </w:r>
    </w:p>
    <w:p>
      <w:pPr>
        <w:pStyle w:val="Compact"/>
        <w:numPr>
          <w:ilvl w:val="0"/>
          <w:numId w:val="1006"/>
        </w:numPr>
      </w:pPr>
      <w:r>
        <w:t xml:space="preserve">Reaffirmation—or acceleration—of the $19 billion year-end debt objective.</w:t>
      </w:r>
    </w:p>
    <w:p>
      <w:pPr>
        <w:pStyle w:val="Compact"/>
        <w:numPr>
          <w:ilvl w:val="0"/>
          <w:numId w:val="1006"/>
        </w:numPr>
      </w:pPr>
      <w:r>
        <w:t xml:space="preserve">Constructive Q3 refining guidance despite potential geopolitical normalization.</w:t>
      </w:r>
    </w:p>
    <w:bookmarkEnd w:id="24"/>
    <w:bookmarkStart w:id="25" w:name="key-downside-risks"/>
    <w:p>
      <w:pPr>
        <w:pStyle w:val="Heading2"/>
      </w:pPr>
      <w:r>
        <w:t xml:space="preserve">Key downside risks</w:t>
      </w:r>
    </w:p>
    <w:p>
      <w:pPr>
        <w:pStyle w:val="Compact"/>
        <w:numPr>
          <w:ilvl w:val="0"/>
          <w:numId w:val="1007"/>
        </w:numPr>
      </w:pPr>
      <w:r>
        <w:t xml:space="preserve">Refining capture falls materially below peers or below management’s mid-90% starting point.</w:t>
      </w:r>
    </w:p>
    <w:p>
      <w:pPr>
        <w:pStyle w:val="Compact"/>
        <w:numPr>
          <w:ilvl w:val="0"/>
          <w:numId w:val="1007"/>
        </w:numPr>
      </w:pPr>
      <w:r>
        <w:t xml:space="preserve">Turnaround or unplanned downtime limits throughput.</w:t>
      </w:r>
    </w:p>
    <w:p>
      <w:pPr>
        <w:pStyle w:val="Compact"/>
        <w:numPr>
          <w:ilvl w:val="0"/>
          <w:numId w:val="1007"/>
        </w:numPr>
      </w:pPr>
      <w:r>
        <w:t xml:space="preserve">Accounting reversals lift EPS without producing equivalent cash flow.</w:t>
      </w:r>
    </w:p>
    <w:p>
      <w:pPr>
        <w:pStyle w:val="Compact"/>
        <w:numPr>
          <w:ilvl w:val="0"/>
          <w:numId w:val="1007"/>
        </w:numPr>
      </w:pPr>
      <w:r>
        <w:t xml:space="preserve">Gross debt remains close to the Q1 level.</w:t>
      </w:r>
    </w:p>
    <w:p>
      <w:pPr>
        <w:pStyle w:val="Compact"/>
        <w:numPr>
          <w:ilvl w:val="0"/>
          <w:numId w:val="1007"/>
        </w:numPr>
      </w:pPr>
      <w:r>
        <w:t xml:space="preserve">Corporate costs exceed the</w:t>
      </w:r>
      <w:r>
        <w:t xml:space="preserve"> </w:t>
      </w:r>
      <m:oMath>
        <m:r>
          <m:t>430</m:t>
        </m:r>
        <m:r>
          <m:t>m</m:t>
        </m:r>
        <m:r>
          <m:t>i</m:t>
        </m:r>
        <m:r>
          <m:t>l</m:t>
        </m:r>
        <m:r>
          <m:t>l</m:t>
        </m:r>
        <m:r>
          <m:t>i</m:t>
        </m:r>
        <m:r>
          <m:t>o</m:t>
        </m:r>
        <m:r>
          <m:t>n</m:t>
        </m:r>
        <m:r>
          <m:rPr>
            <m:sty m:val="p"/>
          </m:rPr>
          <m:t>–</m:t>
        </m:r>
      </m:oMath>
      <w:r>
        <w:t xml:space="preserve">450 million guide.</w:t>
      </w:r>
    </w:p>
    <w:p>
      <w:pPr>
        <w:pStyle w:val="Compact"/>
        <w:numPr>
          <w:ilvl w:val="0"/>
          <w:numId w:val="1007"/>
        </w:numPr>
      </w:pPr>
      <w:r>
        <w:t xml:space="preserve">Chemicals volumes are weaker than improved margins can offset.</w:t>
      </w:r>
    </w:p>
    <w:p>
      <w:pPr>
        <w:pStyle w:val="Compact"/>
        <w:numPr>
          <w:ilvl w:val="0"/>
          <w:numId w:val="1007"/>
        </w:numPr>
      </w:pPr>
      <w:r>
        <w:t xml:space="preserve">Management signals that current refining conditions are a short-lived windfall.</w:t>
      </w:r>
    </w:p>
    <w:p>
      <w:pPr>
        <w:pStyle w:val="Compact"/>
        <w:numPr>
          <w:ilvl w:val="0"/>
          <w:numId w:val="1007"/>
        </w:numPr>
      </w:pPr>
      <w:r>
        <w:t xml:space="preserve">Faster reopening of Hormuz pressures forward cracks and 2027 earnings expectations.</w:t>
      </w:r>
    </w:p>
    <w:bookmarkEnd w:id="25"/>
    <w:bookmarkStart w:id="26" w:name="bottom-line"/>
    <w:p>
      <w:pPr>
        <w:pStyle w:val="Heading2"/>
      </w:pPr>
      <w:r>
        <w:t xml:space="preserve">Bottom line</w:t>
      </w:r>
    </w:p>
    <w:p>
      <w:pPr>
        <w:pStyle w:val="FirstParagraph"/>
      </w:pPr>
      <w:r>
        <w:t xml:space="preserve">The risk/reward is favorable for an</w:t>
      </w:r>
      <w:r>
        <w:t xml:space="preserve"> </w:t>
      </w:r>
      <w:r>
        <w:rPr>
          <w:b/>
          <w:bCs/>
        </w:rPr>
        <w:t xml:space="preserve">earnings beat</w:t>
      </w:r>
      <w:r>
        <w:t xml:space="preserve">, particularly given peer results and PSX’s operating and commercial positioning. But a strong headline number is partly expected. The more important test is whether Phillips 66 demonstrates</w:t>
      </w:r>
      <w:r>
        <w:t xml:space="preserve"> </w:t>
      </w:r>
      <w:r>
        <w:rPr>
          <w:b/>
          <w:bCs/>
        </w:rPr>
        <w:t xml:space="preserve">peer-level refining capture, cash conversion and rapid deleveraging</w:t>
      </w:r>
      <w:r>
        <w:t xml:space="preserve">.</w:t>
      </w:r>
    </w:p>
    <w:p>
      <w:pPr>
        <w:pStyle w:val="BodyText"/>
      </w:pPr>
      <w:r>
        <w:t xml:space="preserve">The highest-quality outcome would be a beat driven by strong utilization and capture, accompanied by a large working-capital release and a clear reduction in gross debt. Conversely, a beat dependent primarily on derivative-accounting reversals—with limited cash generation or cautious Q3 commentary—could produce a muted or negative stock reaction despite impressive reported EPS.</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apnews.com/article/6587f90f2ab5beec373ce5fabf637541?utm_source=openai" TargetMode="External" /><Relationship Type="http://schemas.openxmlformats.org/officeDocument/2006/relationships/hyperlink" Id="rId9" Target="https://investor.phillips66.com/financial-information/news-releases/news-release-details/2026/Phillips-66-to-announce-second-quarter-financial-results/default.aspx" TargetMode="External" /><Relationship Type="http://schemas.openxmlformats.org/officeDocument/2006/relationships/hyperlink" Id="rId14" Target="https://s22.q4cdn.com/128149789/files/doc_financials/2026/q1/First-Quarter-2026-Earnings-Presentation.pdf" TargetMode="External" /><Relationship Type="http://schemas.openxmlformats.org/officeDocument/2006/relationships/hyperlink" Id="rId15" Target="https://s22.q4cdn.com/128149789/files/doc_financials/2026/q1/PSX-USQ_Transcript_2026-04-29_1Q2026.pdf" TargetMode="External" /><Relationship Type="http://schemas.openxmlformats.org/officeDocument/2006/relationships/hyperlink" Id="rId18" Target="https://s22.q4cdn.com/128149789/files/doc_presentations/2026/Jun/01/Investor-Update-June.pdf" TargetMode="External" /><Relationship Type="http://schemas.openxmlformats.org/officeDocument/2006/relationships/hyperlink" Id="rId11" Target="https://www.barchart.com/stocks/quotes/PSX/earnings-estimates" TargetMode="External" /><Relationship Type="http://schemas.openxmlformats.org/officeDocument/2006/relationships/hyperlink" Id="rId13" Target="https://www.fxempire.com/stocks/psx/earnings" TargetMode="External" /></Relationships>
</file>

<file path=word/_rels/footnotes.xml.rels><?xml version="1.0" encoding="UTF-8"?><Relationships xmlns="http://schemas.openxmlformats.org/package/2006/relationships"><Relationship Type="http://schemas.openxmlformats.org/officeDocument/2006/relationships/hyperlink" Id="rId21" Target="https://apnews.com/article/6587f90f2ab5beec373ce5fabf637541?utm_source=openai" TargetMode="External" /><Relationship Type="http://schemas.openxmlformats.org/officeDocument/2006/relationships/hyperlink" Id="rId9" Target="https://investor.phillips66.com/financial-information/news-releases/news-release-details/2026/Phillips-66-to-announce-second-quarter-financial-results/default.aspx" TargetMode="External" /><Relationship Type="http://schemas.openxmlformats.org/officeDocument/2006/relationships/hyperlink" Id="rId14" Target="https://s22.q4cdn.com/128149789/files/doc_financials/2026/q1/First-Quarter-2026-Earnings-Presentation.pdf" TargetMode="External" /><Relationship Type="http://schemas.openxmlformats.org/officeDocument/2006/relationships/hyperlink" Id="rId15" Target="https://s22.q4cdn.com/128149789/files/doc_financials/2026/q1/PSX-USQ_Transcript_2026-04-29_1Q2026.pdf" TargetMode="External" /><Relationship Type="http://schemas.openxmlformats.org/officeDocument/2006/relationships/hyperlink" Id="rId18" Target="https://s22.q4cdn.com/128149789/files/doc_presentations/2026/Jun/01/Investor-Update-June.pdf" TargetMode="External" /><Relationship Type="http://schemas.openxmlformats.org/officeDocument/2006/relationships/hyperlink" Id="rId11" Target="https://www.barchart.com/stocks/quotes/PSX/earnings-estimates" TargetMode="External" /><Relationship Type="http://schemas.openxmlformats.org/officeDocument/2006/relationships/hyperlink" Id="rId13" Target="https://www.fxempire.com/stocks/psx/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2026-08-05T00:39:31Z</dcterms:created>
  <dcterms:modified xsi:type="dcterms:W3CDTF">2026-08-05T00:39:31Z</dcterms:modified>
</cp:coreProperties>
</file>

<file path=docProps/custom.xml><?xml version="1.0" encoding="utf-8"?>
<Properties xmlns="http://schemas.openxmlformats.org/officeDocument/2006/custom-properties" xmlns:vt="http://schemas.openxmlformats.org/officeDocument/2006/docPropsVTypes"/>
</file>