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~$3.52 vs. cons $3.33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adjusted pre-tax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~$1.18bn vs. cons $1.05bn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flow from operations, excluding working capital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~$2.05bn vs. cons $1.82bn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Worldwide refining market capture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~94% vs. cons 97%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Worldwide crude utilization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~94% vs. cons 94%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total debt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~$19.0bn vs. cons $19.0bn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and Other costs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~$455m vs. cons $440m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A reported beat of ~</w:t>
            </w:r>
            <m:oMath>
              <m:r>
                <m:t>0.19</m:t>
              </m:r>
              <m:r>
                <m:t>p</m:t>
              </m:r>
              <m:r>
                <m:t>e</m:t>
              </m:r>
              <m:r>
                <m:t>r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3</m:t>
              </m:r>
              <m:r>
                <m:t>Q</m:t>
              </m:r>
              <m:r>
                <m:t>r</m:t>
              </m:r>
              <m:r>
                <m:t>e</m:t>
              </m:r>
              <m:r>
                <m:t>f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p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rPr>
                  <m:sty m:val="p"/>
                </m:rPr>
                <m:t>(</m:t>
              </m:r>
              <m:r>
                <m:t>94</m:t>
              </m:r>
            </m:oMath>
            <w:r>
              <w:t xml:space="preserve">455m versus ~</w:t>
            </w:r>
            <m:oMath>
              <m:r>
                <m:t>440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19.0bn FY26 debt target limits a balance-sheet upside revision, so out-period EPS and free-cash-flow estimates should drift lower after the initially strong 2Q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2026-08-05T00:38:52Z</dcterms:created>
  <dcterms:modified xsi:type="dcterms:W3CDTF">2026-08-05T00:38:52Z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