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20fdf6a4e3c1c6a0d448c1893e99dc1d0e33b63"/>
    <w:p>
      <w:pPr>
        <w:pStyle w:val="Heading1"/>
      </w:pPr>
      <w:r>
        <w:t xml:space="preserve">Phillips 66 (NYSE: PSX) — 2Q26 Earnings Preview</w:t>
      </w:r>
    </w:p>
    <w:p>
      <w:pPr>
        <w:pStyle w:val="BlockText"/>
      </w:pPr>
      <w:r>
        <w:rPr>
          <w:b/>
          <w:bCs/>
        </w:rPr>
        <w:t xml:space="preserve">Timing note:</w:t>
      </w:r>
      <w:r>
        <w:t xml:space="preserve"> </w:t>
      </w:r>
      <w:r>
        <w:t xml:space="preserve">Phillips 66 said it would release second-quarter results</w:t>
      </w:r>
      <w:r>
        <w:t xml:space="preserve"> </w:t>
      </w:r>
      <w:r>
        <w:rPr>
          <w:b/>
          <w:bCs/>
        </w:rPr>
        <w:t xml:space="preserve">earlier on Wednesday, August 5, 2026</w:t>
      </w:r>
      <w:r>
        <w:t xml:space="preserve">, followed by a</w:t>
      </w:r>
      <w:r>
        <w:t xml:space="preserve"> </w:t>
      </w:r>
      <w:r>
        <w:rPr>
          <w:b/>
          <w:bCs/>
        </w:rPr>
        <w:t xml:space="preserve">noon ET webcast</w:t>
      </w:r>
      <w:r>
        <w:t xml:space="preserve">. Accordingly, August 5 is the reporting date—not tomorrow. This preview assumes results have not yet been released.</w:t>
      </w:r>
    </w:p>
    <w:bookmarkStart w:id="9" w:name="X37ab6ca09f3cf9255bd3d0cfb26b1920692bf4f"/>
    <w:p>
      <w:pPr>
        <w:pStyle w:val="Heading2"/>
      </w:pPr>
      <w:r>
        <w:t xml:space="preserve">Investment view: the report is about cash conversion and the durability of an unusually strong market</w:t>
      </w:r>
    </w:p>
    <w:p>
      <w:pPr>
        <w:pStyle w:val="FirstParagraph"/>
      </w:pPr>
      <w:r>
        <w:t xml:space="preserve">PSX enters 2Q26 with an exceptionally favorable operating backdrop across U.S. refining, petrochemicals and renewable fuels. The central question is not simply whether reported EPS is strong: it is whether</w:t>
      </w:r>
      <w:r>
        <w:t xml:space="preserve"> </w:t>
      </w:r>
      <w:r>
        <w:rPr>
          <w:b/>
          <w:bCs/>
        </w:rPr>
        <w:t xml:space="preserve">market strength translated into realized segment earnings and, importantly, a meaningful reversal of the working-capital and derivative-collateral drag that obscured first-quarter cash flow</w:t>
      </w:r>
      <w:r>
        <w:t xml:space="preserve">.</w:t>
      </w:r>
    </w:p>
    <w:p>
      <w:pPr>
        <w:pStyle w:val="BodyText"/>
      </w:pPr>
      <w:r>
        <w:t xml:space="preserve">The company’s first quarter showed the unusual nature of the setup. Operationally, refining utilization was high and commodity fundamentals improved sharply, but reported adjusted earnings were only</w:t>
      </w:r>
      <w:r>
        <w:t xml:space="preserve"> </w:t>
      </w:r>
      <m:oMath>
        <m:r>
          <m:t>200</m:t>
        </m:r>
        <m:r>
          <m:t>m</m:t>
        </m:r>
        <m:r>
          <m:t>i</m:t>
        </m:r>
        <m:r>
          <m:t>l</m:t>
        </m:r>
        <m:r>
          <m:t>l</m:t>
        </m:r>
        <m:r>
          <m:t>i</m:t>
        </m:r>
        <m:r>
          <m:t>o</m:t>
        </m:r>
        <m:r>
          <m:t>n</m:t>
        </m:r>
        <m:r>
          <m:rPr>
            <m:sty m:val="p"/>
          </m:rPr>
          <m:t>(</m:t>
        </m:r>
      </m:oMath>
      <w:r>
        <w:rPr>
          <w:b/>
          <w:bCs/>
        </w:rPr>
        <w:t xml:space="preserve">0.49/share)</w:t>
      </w:r>
      <w:r>
        <w:t xml:space="preserve"> </w:t>
      </w:r>
      <w:r>
        <w:t xml:space="preserve">because short derivative positions used to economically hedge physical inventories produced an</w:t>
      </w:r>
      <w:r>
        <w:t xml:space="preserve"> </w:t>
      </w:r>
      <w:r>
        <w:rPr>
          <w:b/>
          <w:bCs/>
        </w:rPr>
        <w:t xml:space="preserve">$839 million mark-to-market loss</w:t>
      </w:r>
      <w:r>
        <w:t xml:space="preserve">. Management argued that much of this was timing-related and expected recovery as physical inventories were sold and/or commodity volatility normalized.</w:t>
      </w:r>
    </w:p>
    <w:p>
      <w:pPr>
        <w:pStyle w:val="BodyText"/>
      </w:pPr>
      <w:r>
        <w:t xml:space="preserve">A constructive 2Q print should therefore show three things:</w:t>
      </w:r>
    </w:p>
    <w:p>
      <w:pPr>
        <w:pStyle w:val="Compact"/>
        <w:numPr>
          <w:ilvl w:val="0"/>
          <w:numId w:val="1001"/>
        </w:numPr>
      </w:pPr>
      <w:r>
        <w:rPr>
          <w:b/>
          <w:bCs/>
        </w:rPr>
        <w:t xml:space="preserve">Strong refining and Chemicals earnings</w:t>
      </w:r>
      <w:r>
        <w:t xml:space="preserve">, with solid market capture rather than merely higher benchmark cracks.</w:t>
      </w:r>
    </w:p>
    <w:p>
      <w:pPr>
        <w:pStyle w:val="Compact"/>
        <w:numPr>
          <w:ilvl w:val="0"/>
          <w:numId w:val="1001"/>
        </w:numPr>
      </w:pPr>
      <w:r>
        <w:rPr>
          <w:b/>
          <w:bCs/>
        </w:rPr>
        <w:t xml:space="preserve">A material improvement in cash flow and collateral/working-capital usage.</w:t>
      </w:r>
    </w:p>
    <w:p>
      <w:pPr>
        <w:pStyle w:val="Compact"/>
        <w:numPr>
          <w:ilvl w:val="0"/>
          <w:numId w:val="1001"/>
        </w:numPr>
      </w:pPr>
      <w:r>
        <w:rPr>
          <w:b/>
          <w:bCs/>
        </w:rPr>
        <w:t xml:space="preserve">Confidence in deleveraging while preserving the dividend and buyback framework.</w:t>
      </w:r>
    </w:p>
    <w:p>
      <w:pPr>
        <w:pStyle w:val="FirstParagraph"/>
      </w:pPr>
      <w:r>
        <w:t xml:space="preserve">The stock also arrives with elevated expectations: PSX closed at</w:t>
      </w:r>
      <w:r>
        <w:t xml:space="preserve"> </w:t>
      </w:r>
      <w:r>
        <w:rPr>
          <w:b/>
          <w:bCs/>
        </w:rPr>
        <w:t xml:space="preserve">$205.93 on August 4</w:t>
      </w:r>
      <w:r>
        <w:t xml:space="preserve">, up roughly</w:t>
      </w:r>
      <w:r>
        <w:t xml:space="preserve"> </w:t>
      </w:r>
      <w:r>
        <w:rPr>
          <w:b/>
          <w:bCs/>
        </w:rPr>
        <w:t xml:space="preserve">24.7%</w:t>
      </w:r>
      <w:r>
        <w:t xml:space="preserve"> </w:t>
      </w:r>
      <w:r>
        <w:t xml:space="preserve">from $165.13 immediately before the 1Q release on April 29.</w:t>
      </w:r>
    </w:p>
    <w:p>
      <w:r>
        <w:pict>
          <v:rect style="width:0;height:1.5pt" o:hralign="center" o:hrstd="t" o:hr="t"/>
        </w:pict>
      </w:r>
    </w:p>
    <w:bookmarkEnd w:id="9"/>
    <w:bookmarkStart w:id="15" w:name="what-matters-most-this-quarter"/>
    <w:p>
      <w:pPr>
        <w:pStyle w:val="Heading2"/>
      </w:pPr>
      <w:r>
        <w:t xml:space="preserve">What matters most this quarter</w:t>
      </w:r>
    </w:p>
    <w:bookmarkStart w:id="10" w:name="Xba8df15ed01a5d02da48ce1b27fd85fb3a0e244"/>
    <w:p>
      <w:pPr>
        <w:pStyle w:val="Heading3"/>
      </w:pPr>
      <w:r>
        <w:t xml:space="preserve">1. Refining: margins are the headline, but capture is the differentiator</w:t>
      </w:r>
    </w:p>
    <w:p>
      <w:pPr>
        <w:pStyle w:val="FirstParagraph"/>
      </w:pPr>
      <w:r>
        <w:t xml:space="preserve">Refining is likely to be the largest earnings driver. In 1Q, PSX ran at</w:t>
      </w:r>
      <w:r>
        <w:t xml:space="preserve"> </w:t>
      </w:r>
      <w:r>
        <w:rPr>
          <w:b/>
          <w:bCs/>
        </w:rPr>
        <w:t xml:space="preserve">95% crude utilization</w:t>
      </w:r>
      <w:r>
        <w:t xml:space="preserve">, generated an</w:t>
      </w:r>
      <w:r>
        <w:t xml:space="preserve"> </w:t>
      </w:r>
      <w:r>
        <w:rPr>
          <w:b/>
          <w:bCs/>
        </w:rPr>
        <w:t xml:space="preserve">87% clean-product yield</w:t>
      </w:r>
      <w:r>
        <w:t xml:space="preserve">, and reported realized refining margin of</w:t>
      </w:r>
      <w:r>
        <w:t xml:space="preserve"> </w:t>
      </w:r>
      <m:oMath>
        <m:r>
          <m:t>10.11</m:t>
        </m:r>
        <m:r>
          <m:rPr>
            <m:sty m:val="p"/>
          </m:rPr>
          <m:t>/</m:t>
        </m:r>
        <m:r>
          <m:t>b</m:t>
        </m:r>
        <m:r>
          <m:t>b</m:t>
        </m:r>
        <m:r>
          <m:t>l</m:t>
        </m:r>
        <m:r>
          <m:rPr>
            <m:sty m:val="p"/>
          </m:rPr>
          <m:t>*</m:t>
        </m:r>
        <m:r>
          <m:rPr>
            <m:sty m:val="p"/>
          </m:rPr>
          <m:t>*</m:t>
        </m:r>
        <m:r>
          <m:rPr>
            <m:sty m:val="p"/>
          </m:rPr>
          <m:t>.</m:t>
        </m:r>
        <m:r>
          <m:t>T</m:t>
        </m:r>
        <m:r>
          <m:t>h</m:t>
        </m:r>
        <m:r>
          <m:t>a</m:t>
        </m:r>
        <m:r>
          <m:t>t</m:t>
        </m:r>
        <m:r>
          <m:t>e</m:t>
        </m:r>
        <m:r>
          <m:t>a</m:t>
        </m:r>
        <m:r>
          <m:t>r</m:t>
        </m:r>
        <m:r>
          <m:t>n</m:t>
        </m:r>
        <m:r>
          <m:t>i</m:t>
        </m:r>
        <m:r>
          <m:t>n</m:t>
        </m:r>
        <m:r>
          <m:t>g</m:t>
        </m:r>
        <m:r>
          <m:t>s</m:t>
        </m:r>
        <m:r>
          <m:t>r</m:t>
        </m:r>
        <m:r>
          <m:t>e</m:t>
        </m:r>
        <m:r>
          <m:t>s</m:t>
        </m:r>
        <m:r>
          <m:t>u</m:t>
        </m:r>
        <m:r>
          <m:t>l</m:t>
        </m:r>
        <m:r>
          <m:t>t</m:t>
        </m:r>
        <m:r>
          <m:t>s</m:t>
        </m:r>
        <m:r>
          <m:t>u</m:t>
        </m:r>
        <m:r>
          <m:t>b</m:t>
        </m:r>
        <m:r>
          <m:t>s</m:t>
        </m:r>
        <m:r>
          <m:t>t</m:t>
        </m:r>
        <m:r>
          <m:t>a</m:t>
        </m:r>
        <m:r>
          <m:t>n</m:t>
        </m:r>
        <m:r>
          <m:t>t</m:t>
        </m:r>
        <m:r>
          <m:t>i</m:t>
        </m:r>
        <m:r>
          <m:t>a</m:t>
        </m:r>
        <m:r>
          <m:t>l</m:t>
        </m:r>
        <m:r>
          <m:t>l</m:t>
        </m:r>
        <m:r>
          <m:t>y</m:t>
        </m:r>
        <m:r>
          <m:t>u</m:t>
        </m:r>
        <m:r>
          <m:t>n</m:t>
        </m:r>
        <m:r>
          <m:t>d</m:t>
        </m:r>
        <m:r>
          <m:t>e</m:t>
        </m:r>
        <m:r>
          <m:t>r</m:t>
        </m:r>
        <m:r>
          <m:t>s</m:t>
        </m:r>
        <m:r>
          <m:t>t</m:t>
        </m:r>
        <m:r>
          <m:t>a</m:t>
        </m:r>
        <m:r>
          <m:t>t</m:t>
        </m:r>
        <m:r>
          <m:t>e</m:t>
        </m:r>
        <m:r>
          <m:t>d</m:t>
        </m:r>
        <m:r>
          <m:t>t</m:t>
        </m:r>
        <m:r>
          <m:t>h</m:t>
        </m:r>
        <m:r>
          <m:t>e</m:t>
        </m:r>
        <m:r>
          <m:t>u</m:t>
        </m:r>
        <m:r>
          <m:t>n</m:t>
        </m:r>
        <m:r>
          <m:t>d</m:t>
        </m:r>
        <m:r>
          <m:t>e</m:t>
        </m:r>
        <m:r>
          <m:t>r</m:t>
        </m:r>
        <m:r>
          <m:t>l</m:t>
        </m:r>
        <m:r>
          <m:t>y</m:t>
        </m:r>
        <m:r>
          <m:t>i</m:t>
        </m:r>
        <m:r>
          <m:t>n</m:t>
        </m:r>
        <m:r>
          <m:t>g</m:t>
        </m:r>
        <m:r>
          <m:t>e</m:t>
        </m:r>
        <m:r>
          <m:t>n</m:t>
        </m:r>
        <m:r>
          <m:t>v</m:t>
        </m:r>
        <m:r>
          <m:t>i</m:t>
        </m:r>
        <m:r>
          <m:t>r</m:t>
        </m:r>
        <m:r>
          <m:t>o</m:t>
        </m:r>
        <m:r>
          <m:t>n</m:t>
        </m:r>
        <m:r>
          <m:t>m</m:t>
        </m:r>
        <m:r>
          <m:t>e</m:t>
        </m:r>
        <m:r>
          <m:t>n</m:t>
        </m:r>
        <m:r>
          <m:t>t</m:t>
        </m:r>
        <m:r>
          <m:t>b</m:t>
        </m:r>
        <m:r>
          <m:t>e</m:t>
        </m:r>
        <m:r>
          <m:t>c</m:t>
        </m:r>
        <m:r>
          <m:t>a</m:t>
        </m:r>
        <m:r>
          <m:t>u</m:t>
        </m:r>
        <m:r>
          <m:t>s</m:t>
        </m:r>
        <m:r>
          <m:t>e</m:t>
        </m:r>
        <m:r>
          <m:t>t</m:t>
        </m:r>
        <m:r>
          <m:t>h</m:t>
        </m:r>
        <m:r>
          <m:t>e</m:t>
        </m:r>
        <m:r>
          <m:t>R</m:t>
        </m:r>
        <m:r>
          <m:t>e</m:t>
        </m:r>
        <m:r>
          <m:t>f</m:t>
        </m:r>
        <m:r>
          <m:t>i</m:t>
        </m:r>
        <m:r>
          <m:t>n</m:t>
        </m:r>
        <m:r>
          <m:t>i</m:t>
        </m:r>
        <m:r>
          <m:t>n</m:t>
        </m:r>
        <m:r>
          <m:t>g</m:t>
        </m:r>
        <m:r>
          <m:t>s</m:t>
        </m:r>
        <m:r>
          <m:t>e</m:t>
        </m:r>
        <m:r>
          <m:t>g</m:t>
        </m:r>
        <m:r>
          <m:t>m</m:t>
        </m:r>
        <m:r>
          <m:t>e</m:t>
        </m:r>
        <m:r>
          <m:t>n</m:t>
        </m:r>
        <m:r>
          <m:t>t</m:t>
        </m:r>
        <m:r>
          <m:t>a</m:t>
        </m:r>
        <m:r>
          <m:t>b</m:t>
        </m:r>
        <m:r>
          <m:t>s</m:t>
        </m:r>
        <m:r>
          <m:t>o</m:t>
        </m:r>
        <m:r>
          <m:t>r</m:t>
        </m:r>
        <m:r>
          <m:t>b</m:t>
        </m:r>
        <m:r>
          <m:t>e</m:t>
        </m:r>
        <m:r>
          <m:t>d</m:t>
        </m:r>
        <m:r>
          <m:rPr>
            <m:sty m:val="p"/>
          </m:rPr>
          <m:t>*</m:t>
        </m:r>
        <m:r>
          <m:rPr>
            <m:sty m:val="p"/>
          </m:rPr>
          <m:t>*</m:t>
        </m:r>
      </m:oMath>
      <w:r>
        <w:rPr>
          <w:b/>
          <w:bCs/>
        </w:rPr>
        <w:t xml:space="preserve">396 million</w:t>
      </w:r>
      <w:r>
        <w:t xml:space="preserve"> </w:t>
      </w:r>
      <w:r>
        <w:t xml:space="preserve">of the company’s derivative mark-to-market losses.</w:t>
      </w:r>
    </w:p>
    <w:p>
      <w:pPr>
        <w:pStyle w:val="BodyText"/>
      </w:pPr>
      <w:r>
        <w:t xml:space="preserve">For 2Q, management’s prior framework called for: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2Q26 prior outlook</w:t>
            </w:r>
          </w:p>
        </w:tc>
        <w:tc>
          <w:tcPr/>
          <w:p>
            <w:pPr>
              <w:pStyle w:val="Compact"/>
              <w:jc w:val="right"/>
            </w:pPr>
            <w:r>
              <w:t xml:space="preserve">Company indication</w:t>
            </w:r>
          </w:p>
        </w:tc>
      </w:tr>
      <w:tr>
        <w:tc>
          <w:tcPr/>
          <w:p>
            <w:pPr>
              <w:pStyle w:val="Compact"/>
            </w:pPr>
            <w:r>
              <w:t xml:space="preserve">Worldwide crude utilization</w:t>
            </w:r>
          </w:p>
        </w:tc>
        <w:tc>
          <w:tcPr/>
          <w:p>
            <w:pPr>
              <w:pStyle w:val="Compact"/>
              <w:jc w:val="right"/>
            </w:pPr>
            <w:r>
              <w:t xml:space="preserve">Low-to-mid 90% range</w:t>
            </w:r>
          </w:p>
        </w:tc>
      </w:tr>
      <w:tr>
        <w:tc>
          <w:tcPr/>
          <w:p>
            <w:pPr>
              <w:pStyle w:val="Compact"/>
            </w:pPr>
            <w:r>
              <w:t xml:space="preserve">Turnaround expense</w:t>
            </w:r>
          </w:p>
        </w:tc>
        <w:tc>
          <w:tcPr/>
          <w:p>
            <w:pPr>
              <w:pStyle w:val="Compact"/>
              <w:jc w:val="right"/>
            </w:pPr>
            <m:oMath>
              <m:r>
                <m:t>120</m:t>
              </m:r>
              <m:r>
                <m:rPr>
                  <m:sty m:val="p"/>
                </m:rPr>
                <m:t>–</m:t>
              </m:r>
            </m:oMath>
            <w:r>
              <w:t xml:space="preserve">150 million</w:t>
            </w:r>
          </w:p>
        </w:tc>
      </w:tr>
      <w:tr>
        <w:tc>
          <w:tcPr/>
          <w:p>
            <w:pPr>
              <w:pStyle w:val="Compact"/>
            </w:pPr>
            <w:r>
              <w:t xml:space="preserve">Refining market capture</w:t>
            </w:r>
          </w:p>
        </w:tc>
        <w:tc>
          <w:tcPr/>
          <w:p>
            <w:pPr>
              <w:pStyle w:val="Compact"/>
              <w:jc w:val="right"/>
            </w:pPr>
            <w:r>
              <w:t xml:space="preserve">Mid-90% as a reasonable starting point</w:t>
            </w:r>
          </w:p>
        </w:tc>
      </w:tr>
    </w:tbl>
    <w:p>
      <w:pPr>
        <w:pStyle w:val="BodyText"/>
      </w:pPr>
      <w:r>
        <w:t xml:space="preserve">The key issue is whether PSX’s commercial system again produced an above-indicator result. In 1Q, worldwide market capture reached</w:t>
      </w:r>
      <w:r>
        <w:t xml:space="preserve"> </w:t>
      </w:r>
      <w:r>
        <w:rPr>
          <w:b/>
          <w:bCs/>
        </w:rPr>
        <w:t xml:space="preserve">138%</w:t>
      </w:r>
      <w:r>
        <w:t xml:space="preserve">, aided by logistics optionality, favorable jet and octane differentials, commercial activity in Europe and Asia, lower contracted freight costs, and product-placement opportunities. Management explicitly cautioned that this was not a normal run rate, with backwardation, inventory impacts and turnarounds likely to pressure 2Q capture toward a more normalized mid-90% level.</w:t>
      </w:r>
    </w:p>
    <w:p>
      <w:pPr>
        <w:pStyle w:val="BodyText"/>
      </w:pPr>
      <w:r>
        <w:rPr>
          <w:b/>
          <w:bCs/>
        </w:rPr>
        <w:t xml:space="preserve">Investor read-through:</w:t>
      </w:r>
      <w:r>
        <w:t xml:space="preserve"> </w:t>
      </w:r>
      <w:r>
        <w:t xml:space="preserve">A strong 2Q refining result needs to be judged against a high bar. Benchmark margins may be supportive, but a significant decline in capture from 1Q would not necessarily be a negative surprise if it is consistent with management’s prior framework. Conversely, sustained capture materially above the mid-90s would reinforce the strategic value of PSX’s integrated commercial and logistics network.</w:t>
      </w:r>
    </w:p>
    <w:p>
      <w:r>
        <w:pict>
          <v:rect style="width:0;height:1.5pt" o:hralign="center" o:hrstd="t" o:hr="t"/>
        </w:pict>
      </w:r>
    </w:p>
    <w:bookmarkEnd w:id="10"/>
    <w:bookmarkStart w:id="11" w:name="Xb5a4ba87521a2b8fa1874371d1166233bbcfad7"/>
    <w:p>
      <w:pPr>
        <w:pStyle w:val="Heading3"/>
      </w:pPr>
      <w:r>
        <w:t xml:space="preserve">2. Derivative mark-to-market: reported earnings could still be noisy</w:t>
      </w:r>
    </w:p>
    <w:p>
      <w:pPr>
        <w:pStyle w:val="FirstParagraph"/>
      </w:pPr>
      <w:r>
        <w:t xml:space="preserve">The most important accounting issue is the treatment of commodity hedges. During 1Q, PSX recorded **</w:t>
      </w:r>
      <m:oMath>
        <m:r>
          <m:t>839</m:t>
        </m:r>
        <m:r>
          <m:t>m</m:t>
        </m:r>
        <m:r>
          <m:t>i</m:t>
        </m:r>
        <m:r>
          <m:t>l</m:t>
        </m:r>
        <m:r>
          <m:t>l</m:t>
        </m:r>
        <m:r>
          <m:t>i</m:t>
        </m:r>
        <m:r>
          <m:t>o</m:t>
        </m:r>
        <m:r>
          <m:t>n</m:t>
        </m:r>
        <m:r>
          <m:t>o</m:t>
        </m:r>
        <m:r>
          <m:t>f</m:t>
        </m:r>
        <m:r>
          <m:t>p</m:t>
        </m:r>
        <m:r>
          <m:t>r</m:t>
        </m:r>
        <m:r>
          <m:t>e</m:t>
        </m:r>
        <m:r>
          <m:rPr>
            <m:sty m:val="p"/>
          </m:rPr>
          <m:t>−</m:t>
        </m:r>
        <m:r>
          <m:t>t</m:t>
        </m:r>
        <m:r>
          <m:t>a</m:t>
        </m:r>
        <m:r>
          <m:t>x</m:t>
        </m:r>
        <m:r>
          <m:t>m</m:t>
        </m:r>
        <m:r>
          <m:t>a</m:t>
        </m:r>
        <m:r>
          <m:t>r</m:t>
        </m:r>
        <m:r>
          <m:t>k</m:t>
        </m:r>
        <m:r>
          <m:rPr>
            <m:sty m:val="p"/>
          </m:rPr>
          <m:t>−</m:t>
        </m:r>
        <m:r>
          <m:t>t</m:t>
        </m:r>
        <m:r>
          <m:t>o</m:t>
        </m:r>
        <m:r>
          <m:rPr>
            <m:sty m:val="p"/>
          </m:rPr>
          <m:t>−</m:t>
        </m:r>
        <m:r>
          <m:t>m</m:t>
        </m:r>
        <m:r>
          <m:t>a</m:t>
        </m:r>
        <m:r>
          <m:t>r</m:t>
        </m:r>
        <m:r>
          <m:t>k</m:t>
        </m:r>
        <m:r>
          <m:t>e</m:t>
        </m:r>
        <m:r>
          <m:t>t</m:t>
        </m:r>
        <m:r>
          <m:t>l</m:t>
        </m:r>
        <m:r>
          <m:t>o</m:t>
        </m:r>
        <m:r>
          <m:t>s</m:t>
        </m:r>
        <m:r>
          <m:t>s</m:t>
        </m:r>
        <m:r>
          <m:t>e</m:t>
        </m:r>
        <m:r>
          <m:t>s</m:t>
        </m:r>
        <m:r>
          <m:rPr>
            <m:sty m:val="p"/>
          </m:rPr>
          <m:t>*</m:t>
        </m:r>
        <m:r>
          <m:rPr>
            <m:sty m:val="p"/>
          </m:rPr>
          <m:t>*</m:t>
        </m:r>
        <m:r>
          <m:rPr>
            <m:sty m:val="p"/>
          </m:rPr>
          <m:t>—</m:t>
        </m:r>
      </m:oMath>
      <w:r>
        <w:t xml:space="preserve">396 million in Refining, $323 million in Marketing &amp; Specialties, and $120 million in Renewable Fuels—on short derivatives used against physical positions. Under LIFO accounting, the offsetting increase in the value of associated inventory was not fully reflected in book value.</w:t>
      </w:r>
    </w:p>
    <w:p>
      <w:pPr>
        <w:pStyle w:val="BodyText"/>
      </w:pPr>
      <w:r>
        <w:t xml:space="preserve">Management’s April commentary indicated that, based on the then-current forward curve, approximately</w:t>
      </w:r>
      <w:r>
        <w:t xml:space="preserve"> </w:t>
      </w:r>
      <m:oMath>
        <m:r>
          <m:t>500</m:t>
        </m:r>
        <m:r>
          <m:t>m</m:t>
        </m:r>
        <m:r>
          <m:t>i</m:t>
        </m:r>
        <m:r>
          <m:t>l</m:t>
        </m:r>
        <m:r>
          <m:t>l</m:t>
        </m:r>
        <m:r>
          <m:t>i</m:t>
        </m:r>
        <m:r>
          <m:t>o</m:t>
        </m:r>
        <m:r>
          <m:t>n</m:t>
        </m:r>
        <m:r>
          <m:rPr>
            <m:sty m:val="p"/>
          </m:rPr>
          <m:t>*</m:t>
        </m:r>
        <m:r>
          <m:rPr>
            <m:sty m:val="p"/>
          </m:rPr>
          <m:t>*</m:t>
        </m:r>
        <m:r>
          <m:t>o</m:t>
        </m:r>
        <m:r>
          <m:t>f</m:t>
        </m:r>
        <m:r>
          <m:t>t</m:t>
        </m:r>
        <m:r>
          <m:t>h</m:t>
        </m:r>
        <m:r>
          <m:t>e</m:t>
        </m:r>
        <m:r>
          <m:t>1</m:t>
        </m:r>
        <m:r>
          <m:t>Q</m:t>
        </m:r>
        <m:r>
          <m:t>m</m:t>
        </m:r>
        <m:r>
          <m:t>a</m:t>
        </m:r>
        <m:r>
          <m:t>r</m:t>
        </m:r>
        <m:r>
          <m:t>k</m:t>
        </m:r>
        <m:r>
          <m:rPr>
            <m:sty m:val="p"/>
          </m:rPr>
          <m:t>−</m:t>
        </m:r>
        <m:r>
          <m:t>t</m:t>
        </m:r>
        <m:r>
          <m:t>o</m:t>
        </m:r>
        <m:r>
          <m:rPr>
            <m:sty m:val="p"/>
          </m:rPr>
          <m:t>−</m:t>
        </m:r>
        <m:r>
          <m:t>m</m:t>
        </m:r>
        <m:r>
          <m:t>a</m:t>
        </m:r>
        <m:r>
          <m:t>r</m:t>
        </m:r>
        <m:r>
          <m:t>k</m:t>
        </m:r>
        <m:r>
          <m:t>e</m:t>
        </m:r>
        <m:r>
          <m:t>t</m:t>
        </m:r>
        <m:r>
          <m:t>l</m:t>
        </m:r>
        <m:r>
          <m:t>o</m:t>
        </m:r>
        <m:r>
          <m:t>s</m:t>
        </m:r>
        <m:r>
          <m:t>s</m:t>
        </m:r>
        <m:r>
          <m:t>c</m:t>
        </m:r>
        <m:r>
          <m:t>o</m:t>
        </m:r>
        <m:r>
          <m:t>u</m:t>
        </m:r>
        <m:r>
          <m:t>l</m:t>
        </m:r>
        <m:r>
          <m:t>d</m:t>
        </m:r>
        <m:r>
          <m:t>r</m:t>
        </m:r>
        <m:r>
          <m:t>e</m:t>
        </m:r>
        <m:r>
          <m:t>v</m:t>
        </m:r>
        <m:r>
          <m:t>e</m:t>
        </m:r>
        <m:r>
          <m:t>r</m:t>
        </m:r>
        <m:r>
          <m:t>s</m:t>
        </m:r>
        <m:r>
          <m:t>e</m:t>
        </m:r>
        <m:r>
          <m:t>b</m:t>
        </m:r>
        <m:r>
          <m:t>y</m:t>
        </m:r>
        <m:r>
          <m:t>y</m:t>
        </m:r>
        <m:r>
          <m:t>e</m:t>
        </m:r>
        <m:r>
          <m:t>a</m:t>
        </m:r>
        <m:r>
          <m:t>r</m:t>
        </m:r>
        <m:r>
          <m:rPr>
            <m:sty m:val="p"/>
          </m:rPr>
          <m:t>−</m:t>
        </m:r>
        <m:r>
          <m:t>e</m:t>
        </m:r>
        <m:r>
          <m:t>n</m:t>
        </m:r>
        <m:r>
          <m:t>d</m:t>
        </m:r>
        <m:r>
          <m:rPr>
            <m:sty m:val="p"/>
          </m:rPr>
          <m:t>.</m:t>
        </m:r>
        <m:r>
          <m:t>I</m:t>
        </m:r>
        <m:r>
          <m:t>t</m:t>
        </m:r>
        <m:r>
          <m:t>a</m:t>
        </m:r>
        <m:r>
          <m:t>l</m:t>
        </m:r>
        <m:r>
          <m:t>s</m:t>
        </m:r>
        <m:r>
          <m:t>o</m:t>
        </m:r>
        <m:r>
          <m:t>n</m:t>
        </m:r>
        <m:r>
          <m:t>o</m:t>
        </m:r>
        <m:r>
          <m:t>t</m:t>
        </m:r>
        <m:r>
          <m:t>e</m:t>
        </m:r>
        <m:r>
          <m:t>d</m:t>
        </m:r>
        <m:r>
          <m:t>t</m:t>
        </m:r>
        <m:r>
          <m:t>h</m:t>
        </m:r>
        <m:r>
          <m:t>a</m:t>
        </m:r>
        <m:r>
          <m:t>t</m:t>
        </m:r>
        <m:r>
          <m:t>c</m:t>
        </m:r>
        <m:r>
          <m:t>a</m:t>
        </m:r>
        <m:r>
          <m:t>s</m:t>
        </m:r>
        <m:r>
          <m:t>h</m:t>
        </m:r>
        <m:r>
          <m:t>c</m:t>
        </m:r>
        <m:r>
          <m:t>o</m:t>
        </m:r>
        <m:r>
          <m:t>l</m:t>
        </m:r>
        <m:r>
          <m:t>l</m:t>
        </m:r>
        <m:r>
          <m:t>a</m:t>
        </m:r>
        <m:r>
          <m:t>t</m:t>
        </m:r>
        <m:r>
          <m:t>e</m:t>
        </m:r>
        <m:r>
          <m:t>r</m:t>
        </m:r>
        <m:r>
          <m:t>a</m:t>
        </m:r>
        <m:r>
          <m:t>l</m:t>
        </m:r>
        <m:r>
          <m:t>t</m:t>
        </m:r>
        <m:r>
          <m:t>i</m:t>
        </m:r>
        <m:r>
          <m:t>e</m:t>
        </m:r>
        <m:r>
          <m:t>d</m:t>
        </m:r>
        <m:r>
          <m:t>t</m:t>
        </m:r>
        <m:r>
          <m:t>o</m:t>
        </m:r>
        <m:r>
          <m:t>d</m:t>
        </m:r>
        <m:r>
          <m:t>e</m:t>
        </m:r>
        <m:r>
          <m:t>r</m:t>
        </m:r>
        <m:r>
          <m:t>i</m:t>
        </m:r>
        <m:r>
          <m:t>v</m:t>
        </m:r>
        <m:r>
          <m:t>a</m:t>
        </m:r>
        <m:r>
          <m:t>t</m:t>
        </m:r>
        <m:r>
          <m:t>i</m:t>
        </m:r>
        <m:r>
          <m:t>v</m:t>
        </m:r>
        <m:r>
          <m:t>e</m:t>
        </m:r>
        <m:r>
          <m:t>s</m:t>
        </m:r>
        <m:r>
          <m:t>h</m:t>
        </m:r>
        <m:r>
          <m:t>a</m:t>
        </m:r>
        <m:r>
          <m:t>d</m:t>
        </m:r>
        <m:r>
          <m:t>a</m:t>
        </m:r>
        <m:r>
          <m:t>l</m:t>
        </m:r>
        <m:r>
          <m:t>r</m:t>
        </m:r>
        <m:r>
          <m:t>e</m:t>
        </m:r>
        <m:r>
          <m:t>a</m:t>
        </m:r>
        <m:r>
          <m:t>d</m:t>
        </m:r>
        <m:r>
          <m:t>y</m:t>
        </m:r>
        <m:r>
          <m:t>d</m:t>
        </m:r>
        <m:r>
          <m:t>e</m:t>
        </m:r>
        <m:r>
          <m:t>c</m:t>
        </m:r>
        <m:r>
          <m:t>l</m:t>
        </m:r>
        <m:r>
          <m:t>i</m:t>
        </m:r>
        <m:r>
          <m:t>n</m:t>
        </m:r>
        <m:r>
          <m:t>e</m:t>
        </m:r>
        <m:r>
          <m:t>d</m:t>
        </m:r>
        <m:r>
          <m:t>f</m:t>
        </m:r>
        <m:r>
          <m:t>r</m:t>
        </m:r>
        <m:r>
          <m:t>o</m:t>
        </m:r>
        <m:r>
          <m:t>m</m:t>
        </m:r>
        <m:r>
          <m:rPr>
            <m:sty m:val="p"/>
          </m:rPr>
          <m:t>*</m:t>
        </m:r>
        <m:r>
          <m:rPr>
            <m:sty m:val="p"/>
          </m:rPr>
          <m:t>*</m:t>
        </m:r>
      </m:oMath>
      <w:r>
        <w:rPr>
          <w:b/>
          <w:bCs/>
        </w:rPr>
        <w:t xml:space="preserve">3.2 billion at March 31</w:t>
      </w:r>
      <w:r>
        <w:t xml:space="preserve"> </w:t>
      </w:r>
      <w:r>
        <w:t xml:space="preserve">to</w:t>
      </w:r>
      <w:r>
        <w:t xml:space="preserve"> </w:t>
      </w:r>
      <w:r>
        <w:rPr>
          <w:b/>
          <w:bCs/>
        </w:rPr>
        <w:t xml:space="preserve">$2.1 billion by late April</w:t>
      </w:r>
      <w:r>
        <w:t xml:space="preserve">.</w:t>
      </w:r>
    </w:p>
    <w:p>
      <w:pPr>
        <w:pStyle w:val="BodyText"/>
      </w:pPr>
      <w:r>
        <w:rPr>
          <w:b/>
          <w:bCs/>
        </w:rPr>
        <w:t xml:space="preserve">What investors should watch:</w:t>
      </w:r>
    </w:p>
    <w:p>
      <w:pPr>
        <w:pStyle w:val="Compact"/>
        <w:numPr>
          <w:ilvl w:val="0"/>
          <w:numId w:val="1002"/>
        </w:numPr>
      </w:pPr>
      <w:r>
        <w:t xml:space="preserve">The size and segment allocation of any mark-to-market reversal—or further loss.</w:t>
      </w:r>
    </w:p>
    <w:p>
      <w:pPr>
        <w:pStyle w:val="Compact"/>
        <w:numPr>
          <w:ilvl w:val="0"/>
          <w:numId w:val="1002"/>
        </w:numPr>
      </w:pPr>
      <w:r>
        <w:t xml:space="preserve">Cash collateral and working-capital movements, rather than GAAP earnings alone.</w:t>
      </w:r>
    </w:p>
    <w:p>
      <w:pPr>
        <w:pStyle w:val="Compact"/>
        <w:numPr>
          <w:ilvl w:val="0"/>
          <w:numId w:val="1002"/>
        </w:numPr>
      </w:pPr>
      <w:r>
        <w:t xml:space="preserve">Management’s explanation of the remaining inventory and hedge timing mismatch.</w:t>
      </w:r>
    </w:p>
    <w:p>
      <w:pPr>
        <w:pStyle w:val="Compact"/>
        <w:numPr>
          <w:ilvl w:val="0"/>
          <w:numId w:val="1002"/>
        </w:numPr>
      </w:pPr>
      <w:r>
        <w:t xml:space="preserve">Whether the company sees the 1Q disruption as largely resolved, or still a recurring source of earnings and liquidity volatility.</w:t>
      </w:r>
    </w:p>
    <w:p>
      <w:pPr>
        <w:pStyle w:val="FirstParagraph"/>
      </w:pPr>
      <w:r>
        <w:t xml:space="preserve">A positive reported result with weak cash conversion would be less compelling than a result showing normalization in collateral, receivables and inventory funding.</w:t>
      </w:r>
    </w:p>
    <w:p>
      <w:r>
        <w:pict>
          <v:rect style="width:0;height:1.5pt" o:hralign="center" o:hrstd="t" o:hr="t"/>
        </w:pict>
      </w:r>
    </w:p>
    <w:bookmarkEnd w:id="11"/>
    <w:bookmarkStart w:id="12" w:name="X3281f26dd85b9bc2cd732d767ab091795a7bc18"/>
    <w:p>
      <w:pPr>
        <w:pStyle w:val="Heading3"/>
      </w:pPr>
      <w:r>
        <w:t xml:space="preserve">3. Chemicals: CPChem should be a meaningful earnings lever</w:t>
      </w:r>
    </w:p>
    <w:p>
      <w:pPr>
        <w:pStyle w:val="FirstParagraph"/>
      </w:pPr>
      <w:r>
        <w:t xml:space="preserve">Chemicals improved in 1Q, with adjusted pre-tax income of</w:t>
      </w:r>
      <w:r>
        <w:t xml:space="preserve"> </w:t>
      </w:r>
      <m:oMath>
        <m:r>
          <m:t>85</m:t>
        </m:r>
        <m:r>
          <m:t>m</m:t>
        </m:r>
        <m:r>
          <m:t>i</m:t>
        </m:r>
        <m:r>
          <m:t>l</m:t>
        </m:r>
        <m:r>
          <m:t>l</m:t>
        </m:r>
        <m:r>
          <m:t>i</m:t>
        </m:r>
        <m:r>
          <m:t>o</m:t>
        </m:r>
        <m:r>
          <m:t>n</m:t>
        </m:r>
        <m:r>
          <m:rPr>
            <m:sty m:val="p"/>
          </m:rPr>
          <m:t>*</m:t>
        </m:r>
        <m:r>
          <m:rPr>
            <m:sty m:val="p"/>
          </m:rPr>
          <m:t>*</m:t>
        </m:r>
        <m:r>
          <m:t>a</m:t>
        </m:r>
        <m:r>
          <m:t>n</m:t>
        </m:r>
        <m:r>
          <m:t>d</m:t>
        </m:r>
        <m:r>
          <m:t>a</m:t>
        </m:r>
        <m:r>
          <m:t>d</m:t>
        </m:r>
        <m:r>
          <m:t>j</m:t>
        </m:r>
        <m:r>
          <m:t>u</m:t>
        </m:r>
        <m:r>
          <m:t>s</m:t>
        </m:r>
        <m:r>
          <m:t>t</m:t>
        </m:r>
        <m:r>
          <m:t>e</m:t>
        </m:r>
        <m:r>
          <m:t>d</m:t>
        </m:r>
        <m:r>
          <m:t>E</m:t>
        </m:r>
        <m:r>
          <m:t>B</m:t>
        </m:r>
        <m:r>
          <m:t>I</m:t>
        </m:r>
        <m:r>
          <m:t>T</m:t>
        </m:r>
        <m:r>
          <m:t>D</m:t>
        </m:r>
        <m:r>
          <m:t>A</m:t>
        </m:r>
        <m:r>
          <m:t>o</m:t>
        </m:r>
        <m:r>
          <m:t>f</m:t>
        </m:r>
        <m:r>
          <m:rPr>
            <m:sty m:val="p"/>
          </m:rPr>
          <m:t>*</m:t>
        </m:r>
        <m:r>
          <m:rPr>
            <m:sty m:val="p"/>
          </m:rPr>
          <m:t>*</m:t>
        </m:r>
      </m:oMath>
      <w:r>
        <w:rPr>
          <w:b/>
          <w:bCs/>
        </w:rPr>
        <w:t xml:space="preserve">250 million</w:t>
      </w:r>
      <w:r>
        <w:t xml:space="preserve">, supported by higher polyethylene margins. Management then characterized the 2Q Chemicals setup as especially constructive: global olefins and polyolefins utilization was expected in the</w:t>
      </w:r>
      <w:r>
        <w:t xml:space="preserve"> </w:t>
      </w:r>
      <w:r>
        <w:rPr>
          <w:b/>
          <w:bCs/>
        </w:rPr>
        <w:t xml:space="preserve">low-80% range</w:t>
      </w:r>
      <w:r>
        <w:t xml:space="preserve">, reflecting uncertain Middle East joint-venture operating levels, while U.S. Gulf Coast production retained the advantage of ethane-based feedstock.</w:t>
      </w:r>
    </w:p>
    <w:p>
      <w:pPr>
        <w:pStyle w:val="BodyText"/>
      </w:pPr>
      <w:r>
        <w:t xml:space="preserve">The Chemicals earnings opportunity rests on two related drivers:</w:t>
      </w:r>
    </w:p>
    <w:p>
      <w:pPr>
        <w:pStyle w:val="Compact"/>
        <w:numPr>
          <w:ilvl w:val="0"/>
          <w:numId w:val="1003"/>
        </w:numPr>
      </w:pPr>
      <w:r>
        <w:rPr>
          <w:b/>
          <w:bCs/>
        </w:rPr>
        <w:t xml:space="preserve">Tighter global supply</w:t>
      </w:r>
      <w:r>
        <w:t xml:space="preserve">, including reduced output in the Middle East and Asia.</w:t>
      </w:r>
    </w:p>
    <w:p>
      <w:pPr>
        <w:pStyle w:val="Compact"/>
        <w:numPr>
          <w:ilvl w:val="0"/>
          <w:numId w:val="1003"/>
        </w:numPr>
      </w:pPr>
      <w:r>
        <w:rPr>
          <w:b/>
          <w:bCs/>
        </w:rPr>
        <w:t xml:space="preserve">CPChem’s advantaged U.S. Gulf Coast footprint</w:t>
      </w:r>
      <w:r>
        <w:t xml:space="preserve">, where more than 80% of capacity is in the U.S.</w:t>
      </w:r>
    </w:p>
    <w:p>
      <w:pPr>
        <w:pStyle w:val="FirstParagraph"/>
      </w:pPr>
      <w:r>
        <w:t xml:space="preserve">The trade-off is volume. A lower global utilization rate may constrain reported volumes even as margin per pound expands. Investors should focus on whether higher polyethylene chain margins more than offset any lower utilization and whether management’s outlook remains constructive after the quarter.</w:t>
      </w:r>
    </w:p>
    <w:p>
      <w:pPr>
        <w:pStyle w:val="BodyText"/>
      </w:pPr>
      <w:r>
        <w:t xml:space="preserve">Longer term, the Golden Triangle Polymers project in Texas and Ras Laffan Polymers project in Qatar remain expected to reach full operations in</w:t>
      </w:r>
      <w:r>
        <w:t xml:space="preserve"> </w:t>
      </w:r>
      <w:r>
        <w:rPr>
          <w:b/>
          <w:bCs/>
        </w:rPr>
        <w:t xml:space="preserve">2027</w:t>
      </w:r>
      <w:r>
        <w:t xml:space="preserve">. Updates on commissioning timing, construction cost and expected cash contribution will matter for the medium-term Chemicals thesis.</w:t>
      </w:r>
    </w:p>
    <w:p>
      <w:r>
        <w:pict>
          <v:rect style="width:0;height:1.5pt" o:hralign="center" o:hrstd="t" o:hr="t"/>
        </w:pict>
      </w:r>
    </w:p>
    <w:bookmarkEnd w:id="12"/>
    <w:bookmarkStart w:id="13" w:name="X1826bbe9600014a9e4eb62f52bef73906fad4c1"/>
    <w:p>
      <w:pPr>
        <w:pStyle w:val="Heading3"/>
      </w:pPr>
      <w:r>
        <w:t xml:space="preserve">4. Renewable Fuels: look for the promised earnings inflection</w:t>
      </w:r>
    </w:p>
    <w:p>
      <w:pPr>
        <w:pStyle w:val="FirstParagraph"/>
      </w:pPr>
      <w:r>
        <w:t xml:space="preserve">Renewable Fuels remained loss-making in 1Q, reporting a</w:t>
      </w:r>
      <w:r>
        <w:t xml:space="preserve"> </w:t>
      </w:r>
      <m:oMath>
        <m:r>
          <m:t>41</m:t>
        </m:r>
        <m:r>
          <m:t>m</m:t>
        </m:r>
        <m:r>
          <m:t>i</m:t>
        </m:r>
        <m:r>
          <m:t>l</m:t>
        </m:r>
        <m:r>
          <m:t>l</m:t>
        </m:r>
        <m:r>
          <m:t>i</m:t>
        </m:r>
        <m:r>
          <m:t>o</m:t>
        </m:r>
        <m:r>
          <m:t>n</m:t>
        </m:r>
        <m:r>
          <m:t>p</m:t>
        </m:r>
        <m:r>
          <m:t>r</m:t>
        </m:r>
        <m:r>
          <m:t>e</m:t>
        </m:r>
        <m:r>
          <m:rPr>
            <m:sty m:val="p"/>
          </m:rPr>
          <m:t>−</m:t>
        </m:r>
        <m:r>
          <m:t>t</m:t>
        </m:r>
        <m:r>
          <m:t>a</m:t>
        </m:r>
        <m:r>
          <m:t>x</m:t>
        </m:r>
        <m:r>
          <m:t>l</m:t>
        </m:r>
        <m:r>
          <m:t>o</m:t>
        </m:r>
        <m:r>
          <m:t>s</m:t>
        </m:r>
        <m:r>
          <m:t>s</m:t>
        </m:r>
        <m:r>
          <m:rPr>
            <m:sty m:val="p"/>
          </m:rPr>
          <m:t>*</m:t>
        </m:r>
        <m:r>
          <m:rPr>
            <m:sty m:val="p"/>
          </m:rPr>
          <m:t>*</m:t>
        </m:r>
        <m:r>
          <m:rPr>
            <m:sty m:val="p"/>
          </m:rPr>
          <m:t>,</m:t>
        </m:r>
        <m:r>
          <m:t>a</m:t>
        </m:r>
        <m:r>
          <m:t>g</m:t>
        </m:r>
        <m:r>
          <m:t>a</m:t>
        </m:r>
        <m:r>
          <m:t>i</m:t>
        </m:r>
        <m:r>
          <m:t>n</m:t>
        </m:r>
        <m:r>
          <m:t>p</m:t>
        </m:r>
        <m:r>
          <m:t>a</m:t>
        </m:r>
        <m:r>
          <m:t>r</m:t>
        </m:r>
        <m:r>
          <m:t>t</m:t>
        </m:r>
        <m:r>
          <m:t>l</m:t>
        </m:r>
        <m:r>
          <m:t>y</m:t>
        </m:r>
        <m:r>
          <m:t>d</m:t>
        </m:r>
        <m:r>
          <m:t>u</m:t>
        </m:r>
        <m:r>
          <m:t>e</m:t>
        </m:r>
        <m:r>
          <m:t>t</m:t>
        </m:r>
        <m:r>
          <m:t>o</m:t>
        </m:r>
        <m:r>
          <m:t>m</m:t>
        </m:r>
        <m:r>
          <m:t>a</m:t>
        </m:r>
        <m:r>
          <m:t>r</m:t>
        </m:r>
        <m:r>
          <m:t>k</m:t>
        </m:r>
        <m:r>
          <m:rPr>
            <m:sty m:val="p"/>
          </m:rPr>
          <m:t>−</m:t>
        </m:r>
        <m:r>
          <m:t>t</m:t>
        </m:r>
        <m:r>
          <m:t>o</m:t>
        </m:r>
        <m:r>
          <m:rPr>
            <m:sty m:val="p"/>
          </m:rPr>
          <m:t>−</m:t>
        </m:r>
        <m:r>
          <m:t>m</m:t>
        </m:r>
        <m:r>
          <m:t>a</m:t>
        </m:r>
        <m:r>
          <m:t>r</m:t>
        </m:r>
        <m:r>
          <m:t>k</m:t>
        </m:r>
        <m:r>
          <m:t>e</m:t>
        </m:r>
        <m:r>
          <m:t>t</m:t>
        </m:r>
        <m:r>
          <m:t>e</m:t>
        </m:r>
        <m:r>
          <m:t>f</m:t>
        </m:r>
        <m:r>
          <m:t>f</m:t>
        </m:r>
        <m:r>
          <m:t>e</m:t>
        </m:r>
        <m:r>
          <m:t>c</m:t>
        </m:r>
        <m:r>
          <m:t>t</m:t>
        </m:r>
        <m:r>
          <m:t>s</m:t>
        </m:r>
        <m:r>
          <m:rPr>
            <m:sty m:val="p"/>
          </m:rPr>
          <m:t>.</m:t>
        </m:r>
        <m:r>
          <m:t>B</m:t>
        </m:r>
        <m:r>
          <m:t>u</m:t>
        </m:r>
        <m:r>
          <m:t>t</m:t>
        </m:r>
        <m:r>
          <m:t>t</m:t>
        </m:r>
        <m:r>
          <m:t>h</m:t>
        </m:r>
        <m:r>
          <m:t>e</m:t>
        </m:r>
        <m:r>
          <m:t>u</m:t>
        </m:r>
        <m:r>
          <m:t>n</m:t>
        </m:r>
        <m:r>
          <m:t>d</m:t>
        </m:r>
        <m:r>
          <m:t>e</m:t>
        </m:r>
        <m:r>
          <m:t>r</m:t>
        </m:r>
        <m:r>
          <m:t>l</m:t>
        </m:r>
        <m:r>
          <m:t>y</m:t>
        </m:r>
        <m:r>
          <m:t>i</m:t>
        </m:r>
        <m:r>
          <m:t>n</m:t>
        </m:r>
        <m:r>
          <m:t>g</m:t>
        </m:r>
        <m:r>
          <m:t>s</m:t>
        </m:r>
        <m:r>
          <m:t>e</m:t>
        </m:r>
        <m:r>
          <m:t>t</m:t>
        </m:r>
        <m:r>
          <m:t>u</m:t>
        </m:r>
        <m:r>
          <m:t>p</m:t>
        </m:r>
        <m:r>
          <m:t>i</m:t>
        </m:r>
        <m:r>
          <m:t>m</m:t>
        </m:r>
        <m:r>
          <m:t>p</m:t>
        </m:r>
        <m:r>
          <m:t>r</m:t>
        </m:r>
        <m:r>
          <m:t>o</m:t>
        </m:r>
        <m:r>
          <m:t>v</m:t>
        </m:r>
        <m:r>
          <m:t>e</m:t>
        </m:r>
        <m:r>
          <m:t>d</m:t>
        </m:r>
        <m:r>
          <m:rPr>
            <m:sty m:val="p"/>
          </m:rPr>
          <m:t>:</m:t>
        </m:r>
        <m:r>
          <m:t>r</m:t>
        </m:r>
        <m:r>
          <m:t>e</m:t>
        </m:r>
        <m:r>
          <m:t>n</m:t>
        </m:r>
        <m:r>
          <m:t>e</m:t>
        </m:r>
        <m:r>
          <m:t>w</m:t>
        </m:r>
        <m:r>
          <m:t>a</m:t>
        </m:r>
        <m:r>
          <m:t>b</m:t>
        </m:r>
        <m:r>
          <m:t>l</m:t>
        </m:r>
        <m:r>
          <m:t>e</m:t>
        </m:r>
        <m:r>
          <m:rPr>
            <m:sty m:val="p"/>
          </m:rPr>
          <m:t>−</m:t>
        </m:r>
        <m:r>
          <m:t>f</m:t>
        </m:r>
        <m:r>
          <m:t>u</m:t>
        </m:r>
        <m:r>
          <m:t>e</m:t>
        </m:r>
        <m:r>
          <m:t>l</m:t>
        </m:r>
        <m:r>
          <m:t>p</m:t>
        </m:r>
        <m:r>
          <m:t>r</m:t>
        </m:r>
        <m:r>
          <m:t>o</m:t>
        </m:r>
        <m:r>
          <m:t>d</m:t>
        </m:r>
        <m:r>
          <m:t>u</m:t>
        </m:r>
        <m:r>
          <m:t>c</m:t>
        </m:r>
        <m:r>
          <m:t>t</m:t>
        </m:r>
        <m:r>
          <m:t>i</m:t>
        </m:r>
        <m:r>
          <m:t>o</m:t>
        </m:r>
        <m:r>
          <m:t>n</m:t>
        </m:r>
        <m:r>
          <m:t>i</m:t>
        </m:r>
        <m:r>
          <m:t>n</m:t>
        </m:r>
        <m:r>
          <m:t>c</m:t>
        </m:r>
        <m:r>
          <m:t>r</m:t>
        </m:r>
        <m:r>
          <m:t>e</m:t>
        </m:r>
        <m:r>
          <m:t>a</m:t>
        </m:r>
        <m:r>
          <m:t>s</m:t>
        </m:r>
        <m:r>
          <m:t>e</m:t>
        </m:r>
        <m:r>
          <m:t>d</m:t>
        </m:r>
        <m:r>
          <m:t>t</m:t>
        </m:r>
        <m:r>
          <m:t>o</m:t>
        </m:r>
        <m:r>
          <m:rPr>
            <m:sty m:val="p"/>
          </m:rPr>
          <m:t>*</m:t>
        </m:r>
        <m:r>
          <m:rPr>
            <m:sty m:val="p"/>
          </m:rPr>
          <m:t>*</m:t>
        </m:r>
        <m:r>
          <m:t>40</m:t>
        </m:r>
        <m:r>
          <m:t>M</m:t>
        </m:r>
        <m:r>
          <m:t>B</m:t>
        </m:r>
        <m:r>
          <m:t>D</m:t>
        </m:r>
        <m:r>
          <m:rPr>
            <m:sty m:val="p"/>
          </m:rPr>
          <m:t>*</m:t>
        </m:r>
        <m:r>
          <m:rPr>
            <m:sty m:val="p"/>
          </m:rPr>
          <m:t>*</m:t>
        </m:r>
        <m:r>
          <m:rPr>
            <m:sty m:val="p"/>
          </m:rPr>
          <m:t>,</m:t>
        </m:r>
        <m:r>
          <m:t>a</m:t>
        </m:r>
        <m:r>
          <m:t>n</m:t>
        </m:r>
        <m:r>
          <m:t>d</m:t>
        </m:r>
        <m:r>
          <m:t>b</m:t>
        </m:r>
        <m:r>
          <m:t>i</m:t>
        </m:r>
        <m:r>
          <m:t>o</m:t>
        </m:r>
        <m:r>
          <m:t>d</m:t>
        </m:r>
        <m:r>
          <m:t>i</m:t>
        </m:r>
        <m:r>
          <m:t>e</m:t>
        </m:r>
        <m:r>
          <m:t>s</m:t>
        </m:r>
        <m:r>
          <m:t>e</m:t>
        </m:r>
        <m:r>
          <m:t>l</m:t>
        </m:r>
        <m:r>
          <m:t>R</m:t>
        </m:r>
        <m:r>
          <m:t>I</m:t>
        </m:r>
        <m:r>
          <m:t>N</m:t>
        </m:r>
        <m:r>
          <m:t>p</m:t>
        </m:r>
        <m:r>
          <m:t>r</m:t>
        </m:r>
        <m:r>
          <m:t>i</m:t>
        </m:r>
        <m:r>
          <m:t>c</m:t>
        </m:r>
        <m:r>
          <m:t>e</m:t>
        </m:r>
        <m:r>
          <m:t>s</m:t>
        </m:r>
        <m:r>
          <m:t>a</m:t>
        </m:r>
        <m:r>
          <m:t>v</m:t>
        </m:r>
        <m:r>
          <m:t>e</m:t>
        </m:r>
        <m:r>
          <m:t>r</m:t>
        </m:r>
        <m:r>
          <m:t>a</m:t>
        </m:r>
        <m:r>
          <m:t>g</m:t>
        </m:r>
        <m:r>
          <m:t>e</m:t>
        </m:r>
        <m:r>
          <m:t>d</m:t>
        </m:r>
        <m:r>
          <m:rPr>
            <m:sty m:val="p"/>
          </m:rPr>
          <m:t>*</m:t>
        </m:r>
        <m:r>
          <m:rPr>
            <m:sty m:val="p"/>
          </m:rPr>
          <m:t>*</m:t>
        </m:r>
      </m:oMath>
      <w:r>
        <w:rPr>
          <w:b/>
          <w:bCs/>
        </w:rPr>
        <w:t xml:space="preserve">1.44 per RIN</w:t>
      </w:r>
      <w:r>
        <w:t xml:space="preserve">, versus $0.79 in 1Q25.</w:t>
      </w:r>
    </w:p>
    <w:p>
      <w:pPr>
        <w:pStyle w:val="BodyText"/>
      </w:pPr>
      <w:r>
        <w:t xml:space="preserve">Management described the current credit environment and high utilization at Rodeo as supportive of a substantial year-over-year free-cash-flow improvement. The report should clarify whether that potential is becoming visible in segment earnings.</w:t>
      </w:r>
    </w:p>
    <w:p>
      <w:pPr>
        <w:pStyle w:val="BodyText"/>
      </w:pPr>
      <w:r>
        <w:t xml:space="preserve">Key questions include:</w:t>
      </w:r>
    </w:p>
    <w:p>
      <w:pPr>
        <w:pStyle w:val="Compact"/>
        <w:numPr>
          <w:ilvl w:val="0"/>
          <w:numId w:val="1004"/>
        </w:numPr>
      </w:pPr>
      <w:r>
        <w:t xml:space="preserve">Rodeo throughput versus nameplate capacity.</w:t>
      </w:r>
    </w:p>
    <w:p>
      <w:pPr>
        <w:pStyle w:val="Compact"/>
        <w:numPr>
          <w:ilvl w:val="0"/>
          <w:numId w:val="1004"/>
        </w:numPr>
      </w:pPr>
      <w:r>
        <w:t xml:space="preserve">RIN and other credit monetization.</w:t>
      </w:r>
    </w:p>
    <w:p>
      <w:pPr>
        <w:pStyle w:val="Compact"/>
        <w:numPr>
          <w:ilvl w:val="0"/>
          <w:numId w:val="1004"/>
        </w:numPr>
      </w:pPr>
      <w:r>
        <w:t xml:space="preserve">Renewable diesel margins after feedstock costs.</w:t>
      </w:r>
    </w:p>
    <w:p>
      <w:pPr>
        <w:pStyle w:val="Compact"/>
        <w:numPr>
          <w:ilvl w:val="0"/>
          <w:numId w:val="1004"/>
        </w:numPr>
      </w:pPr>
      <w:r>
        <w:t xml:space="preserve">The pace at which derivative effects are masking—or amplifying—underlying operating performance.</w:t>
      </w:r>
    </w:p>
    <w:p>
      <w:r>
        <w:pict>
          <v:rect style="width:0;height:1.5pt" o:hralign="center" o:hrstd="t" o:hr="t"/>
        </w:pict>
      </w:r>
    </w:p>
    <w:bookmarkEnd w:id="13"/>
    <w:bookmarkStart w:id="14" w:name="Xfde847258768aebf466c790c512c11c739da53f"/>
    <w:p>
      <w:pPr>
        <w:pStyle w:val="Heading3"/>
      </w:pPr>
      <w:r>
        <w:t xml:space="preserve">5. Midstream: recovery from winter effects and progress toward the 2027 target</w:t>
      </w:r>
    </w:p>
    <w:p>
      <w:pPr>
        <w:pStyle w:val="FirstParagraph"/>
      </w:pPr>
      <w:r>
        <w:t xml:space="preserve">Midstream generated</w:t>
      </w:r>
      <w:r>
        <w:t xml:space="preserve"> </w:t>
      </w:r>
      <m:oMath>
        <m:r>
          <m:t>591</m:t>
        </m:r>
        <m:r>
          <m:t>m</m:t>
        </m:r>
        <m:r>
          <m:t>i</m:t>
        </m:r>
        <m:r>
          <m:t>l</m:t>
        </m:r>
        <m:r>
          <m:t>l</m:t>
        </m:r>
        <m:r>
          <m:t>i</m:t>
        </m:r>
        <m:r>
          <m:t>o</m:t>
        </m:r>
        <m:r>
          <m:t>n</m:t>
        </m:r>
        <m:r>
          <m:rPr>
            <m:sty m:val="p"/>
          </m:rPr>
          <m:t>*</m:t>
        </m:r>
        <m:r>
          <m:rPr>
            <m:sty m:val="p"/>
          </m:rPr>
          <m:t>*</m:t>
        </m:r>
        <m:r>
          <m:t>o</m:t>
        </m:r>
        <m:r>
          <m:t>f</m:t>
        </m:r>
        <m:r>
          <m:t>1</m:t>
        </m:r>
        <m:r>
          <m:t>Q</m:t>
        </m:r>
        <m:r>
          <m:t>p</m:t>
        </m:r>
        <m:r>
          <m:t>r</m:t>
        </m:r>
        <m:r>
          <m:t>e</m:t>
        </m:r>
        <m:r>
          <m:rPr>
            <m:sty m:val="p"/>
          </m:rPr>
          <m:t>−</m:t>
        </m:r>
        <m:r>
          <m:t>t</m:t>
        </m:r>
        <m:r>
          <m:t>a</m:t>
        </m:r>
        <m:r>
          <m:t>x</m:t>
        </m:r>
        <m:r>
          <m:t>i</m:t>
        </m:r>
        <m:r>
          <m:t>n</m:t>
        </m:r>
        <m:r>
          <m:t>c</m:t>
        </m:r>
        <m:r>
          <m:t>o</m:t>
        </m:r>
        <m:r>
          <m:t>m</m:t>
        </m:r>
        <m:r>
          <m:t>e</m:t>
        </m:r>
        <m:r>
          <m:t>a</m:t>
        </m:r>
        <m:r>
          <m:t>n</m:t>
        </m:r>
        <m:r>
          <m:t>d</m:t>
        </m:r>
        <m:r>
          <m:rPr>
            <m:sty m:val="p"/>
          </m:rPr>
          <m:t>*</m:t>
        </m:r>
        <m:r>
          <m:rPr>
            <m:sty m:val="p"/>
          </m:rPr>
          <m:t>*</m:t>
        </m:r>
      </m:oMath>
      <w:r>
        <w:rPr>
          <w:b/>
          <w:bCs/>
        </w:rPr>
        <w:t xml:space="preserve">860 million</w:t>
      </w:r>
      <w:r>
        <w:t xml:space="preserve"> </w:t>
      </w:r>
      <w:r>
        <w:t xml:space="preserve">of adjusted EBITDA. Results were pressured by Winter Storm Fern, lower volumes, customer recontracting and accelerated depreciation at a Permian gas plant.</w:t>
      </w:r>
    </w:p>
    <w:p>
      <w:pPr>
        <w:pStyle w:val="BodyText"/>
      </w:pPr>
      <w:r>
        <w:t xml:space="preserve">The strategic target remains</w:t>
      </w:r>
      <w:r>
        <w:t xml:space="preserve"> </w:t>
      </w:r>
      <w:r>
        <w:rPr>
          <w:b/>
          <w:bCs/>
        </w:rPr>
        <w:t xml:space="preserve">$4.5 billion of Midstream EBITDA by year-end 2027</w:t>
      </w:r>
      <w:r>
        <w:t xml:space="preserve">, supported by NGL wellhead-to-market integration, gathering and processing growth, export capability and pipeline opportunities. In 2Q, investors should look for recovery in NGL volumes and margins after the winter-related disruption.</w:t>
      </w:r>
    </w:p>
    <w:p>
      <w:pPr>
        <w:pStyle w:val="BodyText"/>
      </w:pPr>
      <w:r>
        <w:t xml:space="preserve">Key strategic items include:</w:t>
      </w:r>
    </w:p>
    <w:p>
      <w:pPr>
        <w:pStyle w:val="Compact"/>
        <w:numPr>
          <w:ilvl w:val="0"/>
          <w:numId w:val="1005"/>
        </w:numPr>
      </w:pPr>
      <w:r>
        <w:rPr>
          <w:b/>
          <w:bCs/>
        </w:rPr>
        <w:t xml:space="preserve">Iron Mesa gas plant:</w:t>
      </w:r>
      <w:r>
        <w:t xml:space="preserve"> </w:t>
      </w:r>
      <w:r>
        <w:t xml:space="preserve">300 MMCFD design capacity; expected startup in</w:t>
      </w:r>
      <w:r>
        <w:t xml:space="preserve"> </w:t>
      </w:r>
      <w:r>
        <w:rPr>
          <w:b/>
          <w:bCs/>
        </w:rPr>
        <w:t xml:space="preserve">1Q27</w:t>
      </w:r>
      <w:r>
        <w:t xml:space="preserve">.</w:t>
      </w:r>
    </w:p>
    <w:p>
      <w:pPr>
        <w:pStyle w:val="Compact"/>
        <w:numPr>
          <w:ilvl w:val="0"/>
          <w:numId w:val="1005"/>
        </w:numPr>
      </w:pPr>
      <w:r>
        <w:rPr>
          <w:b/>
          <w:bCs/>
        </w:rPr>
        <w:t xml:space="preserve">Western Gateway Pipeline:</w:t>
      </w:r>
      <w:r>
        <w:t xml:space="preserve"> </w:t>
      </w:r>
      <w:r>
        <w:t xml:space="preserve">management expected to be positioned for final investment decision in mid-to-late summer 2026, subject to completing JV arrangements and shipper contracts. The earnings call is a natural venue for a definitive update.</w:t>
      </w:r>
    </w:p>
    <w:p>
      <w:pPr>
        <w:pStyle w:val="Compact"/>
        <w:numPr>
          <w:ilvl w:val="0"/>
          <w:numId w:val="1005"/>
        </w:numPr>
      </w:pPr>
      <w:r>
        <w:rPr>
          <w:b/>
          <w:bCs/>
        </w:rPr>
        <w:t xml:space="preserve">LPG exports and fractionation:</w:t>
      </w:r>
      <w:r>
        <w:t xml:space="preserve"> </w:t>
      </w:r>
      <w:r>
        <w:t xml:space="preserve">2025 debottlenecking formally lifted Sweeny NGL fractionation capacity by 23% and Freeport LPG export dock capacity by 15%, creating leverage to strong Gulf Coast export demand.</w:t>
      </w:r>
    </w:p>
    <w:p>
      <w:r>
        <w:pict>
          <v:rect style="width:0;height:1.5pt" o:hralign="center" o:hrstd="t" o:hr="t"/>
        </w:pict>
      </w:r>
    </w:p>
    <w:bookmarkEnd w:id="14"/>
    <w:bookmarkEnd w:id="15"/>
    <w:bookmarkStart w:id="16" w:name="X5661a34422ae4a1cfb744fb5782ed3ac4fd5459"/>
    <w:p>
      <w:pPr>
        <w:pStyle w:val="Heading2"/>
      </w:pPr>
      <w:r>
        <w:t xml:space="preserve">Balance sheet and capital allocation: the quarter’s most consequential debate</w:t>
      </w:r>
    </w:p>
    <w:p>
      <w:pPr>
        <w:pStyle w:val="FirstParagraph"/>
      </w:pPr>
      <w:r>
        <w:t xml:space="preserve">The bear case heading into 2Q is less about asset quality than financial flexibility after 1Q’s commodity-driven collateral call. At March 31, PSX had:</w:t>
      </w:r>
    </w:p>
    <w:p>
      <w:pPr>
        <w:pStyle w:val="Compact"/>
        <w:numPr>
          <w:ilvl w:val="0"/>
          <w:numId w:val="1006"/>
        </w:numPr>
      </w:pPr>
      <w:r>
        <w:rPr>
          <w:b/>
          <w:bCs/>
        </w:rPr>
        <w:t xml:space="preserve">$27.1 billion of debt</w:t>
      </w:r>
      <w:r>
        <w:t xml:space="preserve">, up from $19.7 billion at year-end 2025.</w:t>
      </w:r>
    </w:p>
    <w:p>
      <w:pPr>
        <w:pStyle w:val="Compact"/>
        <w:numPr>
          <w:ilvl w:val="0"/>
          <w:numId w:val="1006"/>
        </w:numPr>
      </w:pPr>
      <w:r>
        <w:rPr>
          <w:b/>
          <w:bCs/>
        </w:rPr>
        <w:t xml:space="preserve">$5.15 billion of cash</w:t>
      </w:r>
      <w:r>
        <w:t xml:space="preserve">, up from $1.12 billion.</w:t>
      </w:r>
    </w:p>
    <w:p>
      <w:pPr>
        <w:pStyle w:val="Compact"/>
        <w:numPr>
          <w:ilvl w:val="0"/>
          <w:numId w:val="1006"/>
        </w:numPr>
      </w:pPr>
      <w:r>
        <w:rPr>
          <w:b/>
          <w:bCs/>
        </w:rPr>
        <w:t xml:space="preserve">48% debt-to-capital</w:t>
      </w:r>
      <w:r>
        <w:t xml:space="preserve">, versus 39% at year-end.</w:t>
      </w:r>
    </w:p>
    <w:p>
      <w:pPr>
        <w:pStyle w:val="Compact"/>
        <w:numPr>
          <w:ilvl w:val="0"/>
          <w:numId w:val="1006"/>
        </w:numPr>
      </w:pPr>
      <w:r>
        <w:rPr>
          <w:b/>
          <w:bCs/>
        </w:rPr>
        <w:t xml:space="preserve">$2.3 billion of operating-cash-flow usage</w:t>
      </w:r>
      <w:r>
        <w:t xml:space="preserve">, largely from working capital and derivative collateral.</w:t>
      </w:r>
    </w:p>
    <w:p>
      <w:pPr>
        <w:pStyle w:val="FirstParagraph"/>
      </w:pPr>
      <w:r>
        <w:t xml:space="preserve">Management views the debt increase as temporary liquidity management rather than structural leverage. It reaffirmed a path to approximately</w:t>
      </w:r>
      <w:r>
        <w:t xml:space="preserve"> </w:t>
      </w:r>
      <m:oMath>
        <m:r>
          <m:t>19</m:t>
        </m:r>
        <m:r>
          <m:t>b</m:t>
        </m:r>
        <m:r>
          <m:t>i</m:t>
        </m:r>
        <m:r>
          <m:t>l</m:t>
        </m:r>
        <m:r>
          <m:t>l</m:t>
        </m:r>
        <m:r>
          <m:t>i</m:t>
        </m:r>
        <m:r>
          <m:t>o</m:t>
        </m:r>
        <m:r>
          <m:t>n</m:t>
        </m:r>
        <m:r>
          <m:t>o</m:t>
        </m:r>
        <m:r>
          <m:t>f</m:t>
        </m:r>
        <m:r>
          <m:t>d</m:t>
        </m:r>
        <m:r>
          <m:t>e</m:t>
        </m:r>
        <m:r>
          <m:t>b</m:t>
        </m:r>
        <m:r>
          <m:t>t</m:t>
        </m:r>
        <m:r>
          <m:t>b</m:t>
        </m:r>
        <m:r>
          <m:t>y</m:t>
        </m:r>
        <m:r>
          <m:t>y</m:t>
        </m:r>
        <m:r>
          <m:t>e</m:t>
        </m:r>
        <m:r>
          <m:t>a</m:t>
        </m:r>
        <m:r>
          <m:t>r</m:t>
        </m:r>
        <m:r>
          <m:rPr>
            <m:sty m:val="p"/>
          </m:rPr>
          <m:t>−</m:t>
        </m:r>
        <m:r>
          <m:t>e</m:t>
        </m:r>
        <m:r>
          <m:t>n</m:t>
        </m:r>
        <m:r>
          <m:t>d</m:t>
        </m:r>
        <m:r>
          <m:t>2026</m:t>
        </m:r>
        <m:r>
          <m:rPr>
            <m:sty m:val="p"/>
          </m:rPr>
          <m:t>*</m:t>
        </m:r>
        <m:r>
          <m:rPr>
            <m:sty m:val="p"/>
          </m:rPr>
          <m:t>*</m:t>
        </m:r>
        <m:r>
          <m:t>a</m:t>
        </m:r>
        <m:r>
          <m:t>n</m:t>
        </m:r>
        <m:r>
          <m:t>d</m:t>
        </m:r>
        <m:r>
          <m:rPr>
            <m:sty m:val="p"/>
          </m:rPr>
          <m:t>*</m:t>
        </m:r>
        <m:r>
          <m:rPr>
            <m:sty m:val="p"/>
          </m:rPr>
          <m:t>*</m:t>
        </m:r>
      </m:oMath>
      <w:r>
        <w:rPr>
          <w:b/>
          <w:bCs/>
        </w:rPr>
        <w:t xml:space="preserve">17 billion by year-end 2027</w:t>
      </w:r>
      <w:r>
        <w:t xml:space="preserve">, while maintaining a commitment to return more than 50% of operating cash flow excluding working capital to shareholders.</w:t>
      </w:r>
    </w:p>
    <w:p>
      <w:pPr>
        <w:pStyle w:val="BodyText"/>
      </w:pPr>
      <w:r>
        <w:t xml:space="preserve">The 2Q release must provide evidence for that bridge. Specifically, investors should look for:</w:t>
      </w:r>
    </w:p>
    <w:p>
      <w:pPr>
        <w:pStyle w:val="Compact"/>
        <w:numPr>
          <w:ilvl w:val="0"/>
          <w:numId w:val="1007"/>
        </w:numPr>
      </w:pPr>
      <w:r>
        <w:rPr>
          <w:b/>
          <w:bCs/>
        </w:rPr>
        <w:t xml:space="preserve">Working-capital release</w:t>
      </w:r>
      <w:r>
        <w:t xml:space="preserve"> </w:t>
      </w:r>
      <w:r>
        <w:t xml:space="preserve">from inventories, receivables and derivative collateral.</w:t>
      </w:r>
    </w:p>
    <w:p>
      <w:pPr>
        <w:pStyle w:val="Compact"/>
        <w:numPr>
          <w:ilvl w:val="0"/>
          <w:numId w:val="1007"/>
        </w:numPr>
      </w:pPr>
      <w:r>
        <w:rPr>
          <w:b/>
          <w:bCs/>
        </w:rPr>
        <w:t xml:space="preserve">Debt reduction and/or lower short-term borrowing balances.</w:t>
      </w:r>
    </w:p>
    <w:p>
      <w:pPr>
        <w:pStyle w:val="Compact"/>
        <w:numPr>
          <w:ilvl w:val="0"/>
          <w:numId w:val="1007"/>
        </w:numPr>
      </w:pPr>
      <w:r>
        <w:t xml:space="preserve">Sustained operating cash flow before working capital.</w:t>
      </w:r>
    </w:p>
    <w:p>
      <w:pPr>
        <w:pStyle w:val="Compact"/>
        <w:numPr>
          <w:ilvl w:val="0"/>
          <w:numId w:val="1007"/>
        </w:numPr>
      </w:pPr>
      <w:r>
        <w:t xml:space="preserve">Continued dividend coverage and an explanation of the pace of repurchases.</w:t>
      </w:r>
    </w:p>
    <w:p>
      <w:pPr>
        <w:pStyle w:val="FirstParagraph"/>
      </w:pPr>
      <w:r>
        <w:t xml:space="preserve">PSX paid</w:t>
      </w:r>
      <w:r>
        <w:t xml:space="preserve"> </w:t>
      </w:r>
      <m:oMath>
        <m:r>
          <m:t>509</m:t>
        </m:r>
        <m:r>
          <m:t>m</m:t>
        </m:r>
        <m:r>
          <m:t>i</m:t>
        </m:r>
        <m:r>
          <m:t>l</m:t>
        </m:r>
        <m:r>
          <m:t>l</m:t>
        </m:r>
        <m:r>
          <m:t>i</m:t>
        </m:r>
        <m:r>
          <m:t>o</m:t>
        </m:r>
        <m:r>
          <m:t>n</m:t>
        </m:r>
        <m:r>
          <m:t>o</m:t>
        </m:r>
        <m:r>
          <m:t>f</m:t>
        </m:r>
        <m:r>
          <m:t>d</m:t>
        </m:r>
        <m:r>
          <m:t>i</m:t>
        </m:r>
        <m:r>
          <m:t>v</m:t>
        </m:r>
        <m:r>
          <m:t>i</m:t>
        </m:r>
        <m:r>
          <m:t>d</m:t>
        </m:r>
        <m:r>
          <m:t>e</m:t>
        </m:r>
        <m:r>
          <m:t>n</m:t>
        </m:r>
        <m:r>
          <m:t>d</m:t>
        </m:r>
        <m:r>
          <m:t>s</m:t>
        </m:r>
        <m:r>
          <m:rPr>
            <m:sty m:val="p"/>
          </m:rPr>
          <m:t>*</m:t>
        </m:r>
        <m:r>
          <m:rPr>
            <m:sty m:val="p"/>
          </m:rPr>
          <m:t>*</m:t>
        </m:r>
        <m:r>
          <m:t>a</m:t>
        </m:r>
        <m:r>
          <m:t>n</m:t>
        </m:r>
        <m:r>
          <m:t>d</m:t>
        </m:r>
        <m:r>
          <m:t>r</m:t>
        </m:r>
        <m:r>
          <m:t>e</m:t>
        </m:r>
        <m:r>
          <m:t>p</m:t>
        </m:r>
        <m:r>
          <m:t>u</m:t>
        </m:r>
        <m:r>
          <m:t>r</m:t>
        </m:r>
        <m:r>
          <m:t>c</m:t>
        </m:r>
        <m:r>
          <m:t>h</m:t>
        </m:r>
        <m:r>
          <m:t>a</m:t>
        </m:r>
        <m:r>
          <m:t>s</m:t>
        </m:r>
        <m:r>
          <m:t>e</m:t>
        </m:r>
        <m:r>
          <m:t>d</m:t>
        </m:r>
        <m:r>
          <m:rPr>
            <m:sty m:val="p"/>
          </m:rPr>
          <m:t>*</m:t>
        </m:r>
        <m:r>
          <m:rPr>
            <m:sty m:val="p"/>
          </m:rPr>
          <m:t>*</m:t>
        </m:r>
      </m:oMath>
      <w:r>
        <w:rPr>
          <w:b/>
          <w:bCs/>
        </w:rPr>
        <w:t xml:space="preserve">269 million of stock</w:t>
      </w:r>
      <w:r>
        <w:t xml:space="preserve"> </w:t>
      </w:r>
      <w:r>
        <w:t xml:space="preserve">in 1Q. Management has indicated that stronger cash generation would support both additional debt reduction and higher absolute shareholder returns, but the near-term allocation between those uses will be scrutinized.</w:t>
      </w:r>
    </w:p>
    <w:p>
      <w:r>
        <w:pict>
          <v:rect style="width:0;height:1.5pt" o:hralign="center" o:hrstd="t" o:hr="t"/>
        </w:pict>
      </w:r>
    </w:p>
    <w:bookmarkEnd w:id="16"/>
    <w:bookmarkStart w:id="20" w:name="secondary-issues-to-monitor"/>
    <w:p>
      <w:pPr>
        <w:pStyle w:val="Heading2"/>
      </w:pPr>
      <w:r>
        <w:t xml:space="preserve">Secondary issues to monitor</w:t>
      </w:r>
    </w:p>
    <w:bookmarkStart w:id="17" w:name="corporate-costs-and-interest-expense"/>
    <w:p>
      <w:pPr>
        <w:pStyle w:val="Heading3"/>
      </w:pPr>
      <w:r>
        <w:t xml:space="preserve">Corporate costs and interest expense</w:t>
      </w:r>
    </w:p>
    <w:p>
      <w:pPr>
        <w:pStyle w:val="FirstParagraph"/>
      </w:pPr>
      <w:r>
        <w:t xml:space="preserve">Management’s 2Q outlook called for</w:t>
      </w:r>
      <w:r>
        <w:t xml:space="preserve"> </w:t>
      </w:r>
      <w:r>
        <w:rPr>
          <w:b/>
          <w:bCs/>
        </w:rPr>
        <w:t xml:space="preserve">Corporate and Other costs of</w:t>
      </w:r>
      <w:r>
        <w:rPr>
          <w:b/>
          <w:bCs/>
        </w:rPr>
        <w:t xml:space="preserve"> </w:t>
      </w:r>
      <m:oMath>
        <m:r>
          <m:t>430</m:t>
        </m:r>
        <m:r>
          <m:rPr>
            <m:sty m:val="p"/>
          </m:rPr>
          <m:t>–</m:t>
        </m:r>
      </m:oMath>
      <w:r>
        <w:rPr>
          <w:b/>
          <w:bCs/>
        </w:rPr>
        <w:t xml:space="preserve">450 million</w:t>
      </w:r>
      <w:r>
        <w:t xml:space="preserve">. Higher debt balances raised 1Q net interest expense to</w:t>
      </w:r>
      <w:r>
        <w:t xml:space="preserve"> </w:t>
      </w:r>
      <w:r>
        <w:rPr>
          <w:b/>
          <w:bCs/>
        </w:rPr>
        <w:t xml:space="preserve">$255 million</w:t>
      </w:r>
      <w:r>
        <w:t xml:space="preserve">, up from $187 million a year earlier. Any evidence that temporary financing and collateral needs are receding would improve the outlook for this cost line.</w:t>
      </w:r>
    </w:p>
    <w:bookmarkEnd w:id="17"/>
    <w:bookmarkStart w:id="18" w:name="lindsey-oil-refinery-integration"/>
    <w:p>
      <w:pPr>
        <w:pStyle w:val="Heading3"/>
      </w:pPr>
      <w:r>
        <w:t xml:space="preserve">Lindsey Oil Refinery integration</w:t>
      </w:r>
    </w:p>
    <w:p>
      <w:pPr>
        <w:pStyle w:val="FirstParagraph"/>
      </w:pPr>
      <w:r>
        <w:t xml:space="preserve">PSX acquired the Lindsey Oil Refinery and associated logistics infrastructure in the U.K. in April for approximately</w:t>
      </w:r>
      <w:r>
        <w:t xml:space="preserve"> </w:t>
      </w:r>
      <w:r>
        <w:rPr>
          <w:b/>
          <w:bCs/>
        </w:rPr>
        <w:t xml:space="preserve">$115 million</w:t>
      </w:r>
      <w:r>
        <w:t xml:space="preserve">, excluding inventory and subject to adjustments. Investors should look for early integration commentary, operating status and the expected contribution to Atlantic Basin/Europe refining and commercial optionality.</w:t>
      </w:r>
    </w:p>
    <w:bookmarkEnd w:id="18"/>
    <w:bookmarkStart w:id="19" w:name="propel-fuels-litigation"/>
    <w:p>
      <w:pPr>
        <w:pStyle w:val="Heading3"/>
      </w:pPr>
      <w:r>
        <w:t xml:space="preserve">Propel Fuels litigation</w:t>
      </w:r>
    </w:p>
    <w:p>
      <w:pPr>
        <w:pStyle w:val="FirstParagraph"/>
      </w:pPr>
      <w:r>
        <w:t xml:space="preserve">PSX carried an</w:t>
      </w:r>
      <w:r>
        <w:t xml:space="preserve"> </w:t>
      </w:r>
      <w:r>
        <w:rPr>
          <w:b/>
          <w:bCs/>
        </w:rPr>
        <w:t xml:space="preserve">$887 million accrued liability</w:t>
      </w:r>
      <w:r>
        <w:t xml:space="preserve"> </w:t>
      </w:r>
      <w:r>
        <w:t xml:space="preserve">at March 31 related to the Propel Fuels litigation and appeal process. It is not a core operating driver for the quarter, but any change in the appeal, accrual or potential range of loss would be material.</w:t>
      </w:r>
    </w:p>
    <w:p>
      <w:r>
        <w:pict>
          <v:rect style="width:0;height:1.5pt" o:hralign="center" o:hrstd="t" o:hr="t"/>
        </w:pict>
      </w:r>
    </w:p>
    <w:bookmarkEnd w:id="19"/>
    <w:bookmarkEnd w:id="20"/>
    <w:bookmarkStart w:id="21" w:name="earnings-call-questions-that-matter"/>
    <w:p>
      <w:pPr>
        <w:pStyle w:val="Heading2"/>
      </w:pPr>
      <w:r>
        <w:t xml:space="preserve">Earnings-call questions that matter</w:t>
      </w:r>
    </w:p>
    <w:p>
      <w:pPr>
        <w:pStyle w:val="Compact"/>
        <w:numPr>
          <w:ilvl w:val="0"/>
          <w:numId w:val="1008"/>
        </w:numPr>
      </w:pPr>
      <w:r>
        <w:rPr>
          <w:b/>
          <w:bCs/>
        </w:rPr>
        <w:t xml:space="preserve">How much of the 1Q $839 million mark-to-market loss reversed in 2Q, and what remains at quarter-end?</w:t>
      </w:r>
    </w:p>
    <w:p>
      <w:pPr>
        <w:pStyle w:val="Compact"/>
        <w:numPr>
          <w:ilvl w:val="0"/>
          <w:numId w:val="1008"/>
        </w:numPr>
      </w:pPr>
      <w:r>
        <w:rPr>
          <w:b/>
          <w:bCs/>
        </w:rPr>
        <w:t xml:space="preserve">How much derivative collateral has been released since March 31, and how should investors think about working capital for the second half?</w:t>
      </w:r>
    </w:p>
    <w:p>
      <w:pPr>
        <w:pStyle w:val="Compact"/>
        <w:numPr>
          <w:ilvl w:val="0"/>
          <w:numId w:val="1008"/>
        </w:numPr>
      </w:pPr>
      <w:r>
        <w:rPr>
          <w:b/>
          <w:bCs/>
        </w:rPr>
        <w:t xml:space="preserve">What was worldwide refining market capture, and what was the balance between structural commercial gains and non-recurring 1Q-type opportunities?</w:t>
      </w:r>
    </w:p>
    <w:p>
      <w:pPr>
        <w:pStyle w:val="Compact"/>
        <w:numPr>
          <w:ilvl w:val="0"/>
          <w:numId w:val="1008"/>
        </w:numPr>
      </w:pPr>
      <w:r>
        <w:rPr>
          <w:b/>
          <w:bCs/>
        </w:rPr>
        <w:t xml:space="preserve">Did refining utilization and turnaround costs align with the low-to-mid-90% utilization and</w:t>
      </w:r>
      <w:r>
        <w:rPr>
          <w:b/>
          <w:bCs/>
        </w:rPr>
        <w:t xml:space="preserve"> </w:t>
      </w:r>
      <m:oMath>
        <m:r>
          <m:t>120</m:t>
        </m:r>
        <m:r>
          <m:rPr>
            <m:sty m:val="p"/>
          </m:rPr>
          <m:t>–</m:t>
        </m:r>
      </m:oMath>
      <w:r>
        <w:rPr>
          <w:b/>
          <w:bCs/>
        </w:rPr>
        <w:t xml:space="preserve">150 million turnaround framework?</w:t>
      </w:r>
    </w:p>
    <w:p>
      <w:pPr>
        <w:pStyle w:val="Compact"/>
        <w:numPr>
          <w:ilvl w:val="0"/>
          <w:numId w:val="1008"/>
        </w:numPr>
      </w:pPr>
      <w:r>
        <w:rPr>
          <w:b/>
          <w:bCs/>
        </w:rPr>
        <w:t xml:space="preserve">How much did CPChem benefit from polyethylene margin expansion, and what is the current outlook for global operating rates and margins?</w:t>
      </w:r>
    </w:p>
    <w:p>
      <w:pPr>
        <w:pStyle w:val="Compact"/>
        <w:numPr>
          <w:ilvl w:val="0"/>
          <w:numId w:val="1008"/>
        </w:numPr>
      </w:pPr>
      <w:r>
        <w:rPr>
          <w:b/>
          <w:bCs/>
        </w:rPr>
        <w:t xml:space="preserve">Is Rodeo producing above nameplate capacity, and has the improved RIN environment translated into positive Renewable Fuels earnings and cash flow?</w:t>
      </w:r>
    </w:p>
    <w:p>
      <w:pPr>
        <w:pStyle w:val="Compact"/>
        <w:numPr>
          <w:ilvl w:val="0"/>
          <w:numId w:val="1008"/>
        </w:numPr>
      </w:pPr>
      <w:r>
        <w:rPr>
          <w:b/>
          <w:bCs/>
        </w:rPr>
        <w:t xml:space="preserve">Has PSX reached a final investment decision on Western Gateway, and what are the project’s capital and return parameters?</w:t>
      </w:r>
    </w:p>
    <w:p>
      <w:pPr>
        <w:pStyle w:val="Compact"/>
        <w:numPr>
          <w:ilvl w:val="0"/>
          <w:numId w:val="1008"/>
        </w:numPr>
      </w:pPr>
      <w:r>
        <w:rPr>
          <w:b/>
          <w:bCs/>
        </w:rPr>
        <w:t xml:space="preserve">Does management still see a credible path to $19 billion of debt by December 31, 2026, while continuing dividends and repurchases?</w:t>
      </w:r>
    </w:p>
    <w:p>
      <w:r>
        <w:pict>
          <v:rect style="width:0;height:1.5pt" o:hralign="center" o:hrstd="t" o:hr="t"/>
        </w:pict>
      </w:r>
    </w:p>
    <w:bookmarkEnd w:id="21"/>
    <w:bookmarkStart w:id="22" w:name="bottom-line"/>
    <w:p>
      <w:pPr>
        <w:pStyle w:val="Heading2"/>
      </w:pPr>
      <w:r>
        <w:t xml:space="preserve">Bottom line</w:t>
      </w:r>
    </w:p>
    <w:p>
      <w:pPr>
        <w:pStyle w:val="FirstParagraph"/>
      </w:pPr>
      <w:r>
        <w:t xml:space="preserve">The 2Q26 report should be favorable for PSX if market strength, high asset utilization and commercial optionality translate into</w:t>
      </w:r>
      <w:r>
        <w:t xml:space="preserve"> </w:t>
      </w:r>
      <w:r>
        <w:rPr>
          <w:b/>
          <w:bCs/>
        </w:rPr>
        <w:t xml:space="preserve">realized refining and Chemicals earnings plus sharply improved cash conversion</w:t>
      </w:r>
      <w:r>
        <w:t xml:space="preserve">. The cleanest bullish outcome would combine solid mid-90s-or-better refining capture, a visible derivative mark-to-market recovery, cash-collateral release, stronger Renewable Fuels profitability and renewed confidence in the debt-reduction plan.</w:t>
      </w:r>
    </w:p>
    <w:p>
      <w:pPr>
        <w:pStyle w:val="BodyText"/>
      </w:pPr>
      <w:r>
        <w:t xml:space="preserve">The key risk is that earnings strength remains trapped in accounting and working-capital volatility: high benchmark margins alone will be insufficient if hedging losses, collateral requirements, lower market capture or elevated leverage obscure the cash-flow benefit.</w:t>
      </w:r>
    </w:p>
    <w:p>
      <w:pPr>
        <w:pStyle w:val="BodyText"/>
      </w:pPr>
      <w:r>
        <w:rPr>
          <w:i/>
          <w:iCs/>
        </w:rPr>
        <w:t xml:space="preserve">Sources: Phillips 66 1Q26 earnings release, 1Q26 Form 10-Q, 1Q26 earnings-call transcript, June 24, 2026 earnings-date announcement, and PSX share-price data through August 4, 2026.</w:t>
      </w:r>
    </w:p>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2026-08-05T00:38:52Z</dcterms:created>
  <dcterms:modified xsi:type="dcterms:W3CDTF">2026-08-05T00:38:52Z</dcterms:modified>
</cp:coreProperties>
</file>

<file path=docProps/custom.xml><?xml version="1.0" encoding="utf-8"?>
<Properties xmlns="http://schemas.openxmlformats.org/officeDocument/2006/custom-properties" xmlns:vt="http://schemas.openxmlformats.org/officeDocument/2006/docPropsVTypes"/>
</file>