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Phillips 66 (PSX)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b/>
                <w:sz w:val="22"/>
              </w:rPr>
              <w:t>Ticker</w:t>
            </w:r>
          </w:p>
        </w:tc>
        <w:tc>
          <w:tcPr>
            <w:tcW w:type="dxa" w:w="2160"/>
          </w:tcPr>
          <w:p>
            <w:r>
              <w:rPr>
                <w:rFonts w:ascii="Calibri" w:hAnsi="Calibri"/>
                <w:b/>
                <w:sz w:val="22"/>
              </w:rPr>
              <w:t>Upcoming Earnings</w:t>
            </w:r>
          </w:p>
        </w:tc>
        <w:tc>
          <w:tcPr>
            <w:tcW w:type="dxa" w:w="2160"/>
          </w:tcPr>
          <w:p>
            <w:r>
              <w:rPr>
                <w:rFonts w:ascii="Calibri" w:hAnsi="Calibri"/>
                <w:b/>
                <w:sz w:val="22"/>
              </w:rPr>
              <w:t>Prepared</w:t>
            </w:r>
          </w:p>
        </w:tc>
      </w:tr>
      <w:tr>
        <w:tc>
          <w:tcPr>
            <w:tcW w:type="dxa" w:w="2160"/>
          </w:tcPr>
          <w:p>
            <w:r>
              <w:rPr>
                <w:rFonts w:ascii="Calibri" w:hAnsi="Calibri"/>
                <w:sz w:val="22"/>
              </w:rPr>
              <w:t>Phillips 66</w:t>
            </w:r>
          </w:p>
        </w:tc>
        <w:tc>
          <w:tcPr>
            <w:tcW w:type="dxa" w:w="2160"/>
          </w:tcPr>
          <w:p>
            <w:r>
              <w:rPr>
                <w:rFonts w:ascii="Calibri" w:hAnsi="Calibri"/>
                <w:sz w:val="22"/>
              </w:rPr>
              <w:t>PSX</w:t>
            </w:r>
          </w:p>
        </w:tc>
        <w:tc>
          <w:tcPr>
            <w:tcW w:type="dxa" w:w="2160"/>
          </w:tcPr>
          <w:p>
            <w:r>
              <w:rPr>
                <w:rFonts w:ascii="Calibri" w:hAnsi="Calibri"/>
                <w:sz w:val="22"/>
              </w:rPr>
              <w:t>Q2 2026 (~late July / early August 2026)</w:t>
            </w:r>
          </w:p>
        </w:tc>
        <w:tc>
          <w:tcPr>
            <w:tcW w:type="dxa" w:w="2160"/>
          </w:tcPr>
          <w:p>
            <w:r>
              <w:rPr>
                <w:rFonts w:ascii="Calibri" w:hAnsi="Calibri"/>
                <w:sz w:val="22"/>
              </w:rPr>
              <w:t>August 4,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PSX’s Q2 2026 print is constructive-to-bullish — consensus is calling for a massive sequential and year-over-year earnings recovery driven by a historically strong refining margin environment, and peer prints from VLO and MPC confirm the macro tailwind was real; the biggest swing factor is how much of the Q1 mark-to-market hedge loss reverses and whether refining capture rate surprises to the upside again.</w:t>
      </w:r>
    </w:p>
    <w:p>
      <w:r>
        <w:rPr>
          <w:rFonts w:ascii="Calibri" w:hAnsi="Calibri"/>
          <w:color w:val="525866"/>
          <w:sz w:val="22"/>
        </w:rPr>
        <w:t xml:space="preserve">Heading into Q2 2026, Phillips 66 faces a consensus bar that is high in absolute terms but arguably still beatable given the exceptional refining macro backdrop confirmed by peers. </w:t>
      </w:r>
      <w:r>
        <w:rPr>
          <w:rFonts w:ascii="Calibri" w:hAnsi="Calibri"/>
          <w:color w:val="525866"/>
          <w:sz w:val="22"/>
        </w:rPr>
        <w:t xml:space="preserve">Consensus is modeling adjusted EPS of ~$7.68 and Refining Adjusted EBITDA of ~$2.9 billion — a dramatic swing from Q1’s $0.49 EPS (which was itself a beat vs. expectations for a loss). </w:t>
      </w:r>
      <w:r>
        <w:rPr>
          <w:rFonts w:ascii="Calibri" w:hAnsi="Calibri"/>
          <w:color w:val="525866"/>
          <w:sz w:val="22"/>
        </w:rPr>
        <w:t xml:space="preserve">Management’s tone on the Q1 call was actively bullish across refining, chemicals, and renewable fuels, with Q2 guidance calling for worldwide crude utilization in the low-to-mid 90s and turnaround expense of $120–$150 million — a lighter cost quarter than Q1. </w:t>
      </w:r>
      <w:r>
        <w:rPr>
          <w:rFonts w:ascii="Calibri" w:hAnsi="Calibri"/>
          <w:color w:val="525866"/>
          <w:sz w:val="22"/>
        </w:rPr>
        <w:t xml:space="preserve">Estimate revisions have moved sharply higher since the Q1 print (Q2 EPS consensus up from $6.04 to $7.68, a +27% revision), tracking the strong macro signals from peers who reported first. </w:t>
      </w:r>
      <w:r>
        <w:rPr>
          <w:rFonts w:ascii="Calibri" w:hAnsi="Calibri"/>
          <w:color w:val="525866"/>
          <w:sz w:val="22"/>
        </w:rPr>
        <w:t>The stock has already priced in significant improvement — PSX is up ~19% since the Q1 earnings date vs. XLE flat and SPY +8% — meaning the bar for a positive reaction is higher, but the wildcard is the magnitude of mark-to-market hedge reversal (management guided that a significant portion of Q1’s non-cash losses should reverse by year-end based on the forward curve) and whether commercial capture again surprises to the upside as it did in Q1.</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high absolute bar — Q2 EPS of $7.68 implies a ~15x sequential jump from Q1 — but the refining macro environment confirmed by VLO and MPC suggests the bar is achievable; </w:t>
      </w:r>
      <w:r>
        <w:rPr>
          <w:rFonts w:ascii="Calibri" w:hAnsi="Calibri"/>
          <w:b/>
          <w:color w:val="525866"/>
          <w:sz w:val="22"/>
        </w:rPr>
        <w:t>Refining Adjusted EBITDA is the bigger swing factor</w:t>
      </w:r>
      <w:r>
        <w:rPr>
          <w:rFonts w:ascii="Calibri" w:hAnsi="Calibri"/>
          <w:color w:val="525866"/>
          <w:sz w:val="22"/>
        </w:rPr>
        <w:t>, given its sensitivity to crude differentials, capture rate, and the partial reversal of Q1 mark-to-market losses.</w:t>
      </w:r>
    </w:p>
    <w:p>
      <w:pPr>
        <w:pStyle w:val="Heading3"/>
      </w:pPr>
      <w:r>
        <w:rPr>
          <w:rFonts w:ascii="Calibri" w:hAnsi="Calibri"/>
          <w:b/>
          <w:color w:val="3B4259"/>
          <w:sz w:val="24"/>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(from Q1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 EPS — Diluted Operating ($)</w:t>
            </w:r>
          </w:p>
        </w:tc>
        <w:tc>
          <w:tcPr>
            <w:tcW w:type="dxa" w:w="1234"/>
          </w:tcPr>
          <w:p>
            <w:r>
              <w:rPr>
                <w:rFonts w:ascii="Calibri" w:hAnsi="Calibri"/>
                <w:sz w:val="22"/>
              </w:rPr>
              <w:t>$0.49</w:t>
            </w:r>
          </w:p>
        </w:tc>
        <w:tc>
          <w:tcPr>
            <w:tcW w:type="dxa" w:w="1234"/>
          </w:tcPr>
          <w:p>
            <w:r>
              <w:rPr>
                <w:rFonts w:ascii="Calibri" w:hAnsi="Calibri"/>
                <w:sz w:val="22"/>
              </w:rPr>
              <w:t>$2.38</w:t>
            </w:r>
          </w:p>
        </w:tc>
        <w:tc>
          <w:tcPr>
            <w:tcW w:type="dxa" w:w="1234"/>
          </w:tcPr>
          <w:p>
            <w:r>
              <w:rPr>
                <w:rFonts w:ascii="Calibri" w:hAnsi="Calibri"/>
                <w:sz w:val="22"/>
              </w:rPr>
              <w:t>$7.68</w:t>
            </w:r>
          </w:p>
        </w:tc>
        <w:tc>
          <w:tcPr>
            <w:tcW w:type="dxa" w:w="1234"/>
          </w:tcPr>
          <w:p>
            <w:r>
              <w:rPr>
                <w:rFonts w:ascii="Calibri" w:hAnsi="Calibri"/>
                <w:sz w:val="22"/>
              </w:rPr>
              <w:t>+223% YoY</w:t>
            </w:r>
          </w:p>
        </w:tc>
        <w:tc>
          <w:tcPr>
            <w:tcW w:type="dxa" w:w="1234"/>
          </w:tcPr>
          <w:p>
            <w:r>
              <w:rPr>
                <w:rFonts w:ascii="Calibri" w:hAnsi="Calibri"/>
                <w:sz w:val="22"/>
              </w:rPr>
              <w:t>No specific EPS guidance provided</w:t>
            </w:r>
          </w:p>
        </w:tc>
        <w:tc>
          <w:tcPr>
            <w:tcW w:type="dxa" w:w="1234"/>
          </w:tcPr>
          <w:p>
            <w:r>
              <w:rPr>
                <w:rFonts w:ascii="Calibri" w:hAnsi="Calibri"/>
                <w:sz w:val="22"/>
              </w:rPr>
              <w:t>N/A</w:t>
            </w:r>
          </w:p>
        </w:tc>
      </w:tr>
      <w:tr>
        <w:tc>
          <w:tcPr>
            <w:tcW w:type="dxa" w:w="1234"/>
          </w:tcPr>
          <w:p>
            <w:r>
              <w:rPr>
                <w:rFonts w:ascii="Calibri" w:hAnsi="Calibri"/>
                <w:sz w:val="22"/>
              </w:rPr>
              <w:t>Refining Adj. EBITDA ($M)</w:t>
            </w:r>
          </w:p>
        </w:tc>
        <w:tc>
          <w:tcPr>
            <w:tcW w:type="dxa" w:w="1234"/>
          </w:tcPr>
          <w:p>
            <w:r>
              <w:rPr>
                <w:rFonts w:ascii="Calibri" w:hAnsi="Calibri"/>
                <w:sz w:val="22"/>
              </w:rPr>
              <w:t>$423M</w:t>
            </w:r>
          </w:p>
        </w:tc>
        <w:tc>
          <w:tcPr>
            <w:tcW w:type="dxa" w:w="1234"/>
          </w:tcPr>
          <w:p>
            <w:r>
              <w:rPr>
                <w:rFonts w:ascii="Calibri" w:hAnsi="Calibri"/>
                <w:sz w:val="22"/>
              </w:rPr>
              <w:t>$835M</w:t>
            </w:r>
          </w:p>
        </w:tc>
        <w:tc>
          <w:tcPr>
            <w:tcW w:type="dxa" w:w="1234"/>
          </w:tcPr>
          <w:p>
            <w:r>
              <w:rPr>
                <w:rFonts w:ascii="Calibri" w:hAnsi="Calibri"/>
                <w:sz w:val="22"/>
              </w:rPr>
              <w:t>$2,923M</w:t>
            </w:r>
          </w:p>
        </w:tc>
        <w:tc>
          <w:tcPr>
            <w:tcW w:type="dxa" w:w="1234"/>
          </w:tcPr>
          <w:p>
            <w:r>
              <w:rPr>
                <w:rFonts w:ascii="Calibri" w:hAnsi="Calibri"/>
                <w:sz w:val="22"/>
              </w:rPr>
              <w:t>+250% YoY</w:t>
            </w:r>
          </w:p>
        </w:tc>
        <w:tc>
          <w:tcPr>
            <w:tcW w:type="dxa" w:w="1234"/>
          </w:tcPr>
          <w:p>
            <w:r>
              <w:rPr>
                <w:rFonts w:ascii="Calibri" w:hAnsi="Calibri"/>
                <w:sz w:val="22"/>
              </w:rPr>
              <w:t>Crude utilization low-to-mid 90s; T/A expense $120–$150M</w:t>
            </w:r>
          </w:p>
        </w:tc>
        <w:tc>
          <w:tcPr>
            <w:tcW w:type="dxa" w:w="1234"/>
          </w:tcPr>
          <w:p>
            <w:r>
              <w:rPr>
                <w:rFonts w:ascii="Calibri" w:hAnsi="Calibri"/>
                <w:sz w:val="22"/>
              </w:rPr>
              <w:t>Above guidance range (macro-driven upside)</w:t>
            </w:r>
          </w:p>
        </w:tc>
      </w:tr>
      <w:tr>
        <w:tc>
          <w:tcPr>
            <w:tcW w:type="dxa" w:w="1234"/>
          </w:tcPr>
          <w:p>
            <w:r>
              <w:rPr>
                <w:rFonts w:ascii="Calibri" w:hAnsi="Calibri"/>
                <w:sz w:val="22"/>
              </w:rPr>
              <w:t>Midstream Adj. EBITDA ($M)</w:t>
            </w:r>
          </w:p>
        </w:tc>
        <w:tc>
          <w:tcPr>
            <w:tcW w:type="dxa" w:w="1234"/>
          </w:tcPr>
          <w:p>
            <w:r>
              <w:rPr>
                <w:rFonts w:ascii="Calibri" w:hAnsi="Calibri"/>
                <w:sz w:val="22"/>
              </w:rPr>
              <w:t>$865M</w:t>
            </w:r>
          </w:p>
        </w:tc>
        <w:tc>
          <w:tcPr>
            <w:tcW w:type="dxa" w:w="1234"/>
          </w:tcPr>
          <w:p>
            <w:r>
              <w:rPr>
                <w:rFonts w:ascii="Calibri" w:hAnsi="Calibri"/>
                <w:sz w:val="22"/>
              </w:rPr>
              <w:t>$991M</w:t>
            </w:r>
          </w:p>
        </w:tc>
        <w:tc>
          <w:tcPr>
            <w:tcW w:type="dxa" w:w="1234"/>
          </w:tcPr>
          <w:p>
            <w:r>
              <w:rPr>
                <w:rFonts w:ascii="Calibri" w:hAnsi="Calibri"/>
                <w:sz w:val="22"/>
              </w:rPr>
              <w:t>$998M</w:t>
            </w:r>
          </w:p>
        </w:tc>
        <w:tc>
          <w:tcPr>
            <w:tcW w:type="dxa" w:w="1234"/>
          </w:tcPr>
          <w:p>
            <w:r>
              <w:rPr>
                <w:rFonts w:ascii="Calibri" w:hAnsi="Calibri"/>
                <w:sz w:val="22"/>
              </w:rPr>
              <w:t>+0.7% YoY</w:t>
            </w:r>
          </w:p>
        </w:tc>
        <w:tc>
          <w:tcPr>
            <w:tcW w:type="dxa" w:w="1234"/>
          </w:tcPr>
          <w:p>
            <w:r>
              <w:rPr>
                <w:rFonts w:ascii="Calibri" w:hAnsi="Calibri"/>
                <w:sz w:val="22"/>
              </w:rPr>
              <w:t>No specific guidance; organic growth trajectory intact</w:t>
            </w:r>
          </w:p>
        </w:tc>
        <w:tc>
          <w:tcPr>
            <w:tcW w:type="dxa" w:w="1234"/>
          </w:tcPr>
          <w:p>
            <w:r>
              <w:rPr>
                <w:rFonts w:ascii="Calibri" w:hAnsi="Calibri"/>
                <w:sz w:val="22"/>
              </w:rPr>
              <w:t>N/A</w:t>
            </w:r>
          </w:p>
        </w:tc>
      </w:tr>
      <w:tr>
        <w:tc>
          <w:tcPr>
            <w:tcW w:type="dxa" w:w="1234"/>
          </w:tcPr>
          <w:p>
            <w:r>
              <w:rPr>
                <w:rFonts w:ascii="Calibri" w:hAnsi="Calibri"/>
                <w:sz w:val="22"/>
              </w:rPr>
              <w:t>Chemicals Adj. EBITDA ($M)</w:t>
            </w:r>
          </w:p>
        </w:tc>
        <w:tc>
          <w:tcPr>
            <w:tcW w:type="dxa" w:w="1234"/>
          </w:tcPr>
          <w:p>
            <w:r>
              <w:rPr>
                <w:rFonts w:ascii="Calibri" w:hAnsi="Calibri"/>
                <w:sz w:val="22"/>
              </w:rPr>
              <w:t>$85M</w:t>
            </w:r>
          </w:p>
        </w:tc>
        <w:tc>
          <w:tcPr>
            <w:tcW w:type="dxa" w:w="1234"/>
          </w:tcPr>
          <w:p>
            <w:r>
              <w:rPr>
                <w:rFonts w:ascii="Calibri" w:hAnsi="Calibri"/>
                <w:sz w:val="22"/>
              </w:rPr>
              <w:t>$20M</w:t>
            </w:r>
          </w:p>
        </w:tc>
        <w:tc>
          <w:tcPr>
            <w:tcW w:type="dxa" w:w="1234"/>
          </w:tcPr>
          <w:p>
            <w:r>
              <w:rPr>
                <w:rFonts w:ascii="Calibri" w:hAnsi="Calibri"/>
                <w:sz w:val="22"/>
              </w:rPr>
              <w:t>$389M</w:t>
            </w:r>
          </w:p>
        </w:tc>
        <w:tc>
          <w:tcPr>
            <w:tcW w:type="dxa" w:w="1234"/>
          </w:tcPr>
          <w:p>
            <w:r>
              <w:rPr>
                <w:rFonts w:ascii="Calibri" w:hAnsi="Calibri"/>
                <w:sz w:val="22"/>
              </w:rPr>
              <w:t>+1,845% YoY</w:t>
            </w:r>
          </w:p>
        </w:tc>
        <w:tc>
          <w:tcPr>
            <w:tcW w:type="dxa" w:w="1234"/>
          </w:tcPr>
          <w:p>
            <w:r>
              <w:rPr>
                <w:rFonts w:ascii="Calibri" w:hAnsi="Calibri"/>
                <w:sz w:val="22"/>
              </w:rPr>
              <w:t>Global O&amp;P utilization low 80s (Middle East JV uncertainty)</w:t>
            </w:r>
          </w:p>
        </w:tc>
        <w:tc>
          <w:tcPr>
            <w:tcW w:type="dxa" w:w="1234"/>
          </w:tcPr>
          <w:p>
            <w:r>
              <w:rPr>
                <w:rFonts w:ascii="Calibri" w:hAnsi="Calibri"/>
                <w:sz w:val="22"/>
              </w:rPr>
              <w:t>Consensus well above prior-year; utilization headwind flagged</w:t>
            </w:r>
          </w:p>
        </w:tc>
      </w:tr>
      <w:tr>
        <w:tc>
          <w:tcPr>
            <w:tcW w:type="dxa" w:w="1234"/>
          </w:tcPr>
          <w:p>
            <w:r>
              <w:rPr>
                <w:rFonts w:ascii="Calibri" w:hAnsi="Calibri"/>
                <w:sz w:val="22"/>
              </w:rPr>
              <w:t>Marketing, Specialties &amp; Other Adj. EBITDA ($M)</w:t>
            </w:r>
          </w:p>
        </w:tc>
        <w:tc>
          <w:tcPr>
            <w:tcW w:type="dxa" w:w="1234"/>
          </w:tcPr>
          <w:p>
            <w:r>
              <w:rPr>
                <w:rFonts w:ascii="Calibri" w:hAnsi="Calibri"/>
                <w:sz w:val="22"/>
              </w:rPr>
              <w:t>-$121M</w:t>
            </w:r>
          </w:p>
        </w:tc>
        <w:tc>
          <w:tcPr>
            <w:tcW w:type="dxa" w:w="1234"/>
          </w:tcPr>
          <w:p>
            <w:r>
              <w:rPr>
                <w:rFonts w:ascii="Calibri" w:hAnsi="Calibri"/>
                <w:sz w:val="22"/>
              </w:rPr>
              <w:t>$693M</w:t>
            </w:r>
          </w:p>
        </w:tc>
        <w:tc>
          <w:tcPr>
            <w:tcW w:type="dxa" w:w="1234"/>
          </w:tcPr>
          <w:p>
            <w:r>
              <w:rPr>
                <w:rFonts w:ascii="Calibri" w:hAnsi="Calibri"/>
                <w:sz w:val="22"/>
              </w:rPr>
              <w:t>$492M</w:t>
            </w:r>
          </w:p>
        </w:tc>
        <w:tc>
          <w:tcPr>
            <w:tcW w:type="dxa" w:w="1234"/>
          </w:tcPr>
          <w:p>
            <w:r>
              <w:rPr>
                <w:rFonts w:ascii="Calibri" w:hAnsi="Calibri"/>
                <w:sz w:val="22"/>
              </w:rPr>
              <w:t>-29% YoY</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Refinery Crude Utilization (%)</w:t>
            </w:r>
          </w:p>
        </w:tc>
        <w:tc>
          <w:tcPr>
            <w:tcW w:type="dxa" w:w="1234"/>
          </w:tcPr>
          <w:p>
            <w:r>
              <w:rPr>
                <w:rFonts w:ascii="Calibri" w:hAnsi="Calibri"/>
                <w:sz w:val="22"/>
              </w:rPr>
              <w:t>100.8%</w:t>
            </w:r>
          </w:p>
        </w:tc>
        <w:tc>
          <w:tcPr>
            <w:tcW w:type="dxa" w:w="1234"/>
          </w:tcPr>
          <w:p>
            <w:r>
              <w:rPr>
                <w:rFonts w:ascii="Calibri" w:hAnsi="Calibri"/>
                <w:sz w:val="22"/>
              </w:rPr>
              <w:t>104.3%</w:t>
            </w:r>
          </w:p>
        </w:tc>
        <w:tc>
          <w:tcPr>
            <w:tcW w:type="dxa" w:w="1234"/>
          </w:tcPr>
          <w:p>
            <w:r>
              <w:rPr>
                <w:rFonts w:ascii="Calibri" w:hAnsi="Calibri"/>
                <w:sz w:val="22"/>
              </w:rPr>
              <w:t>100.1%</w:t>
            </w:r>
          </w:p>
        </w:tc>
        <w:tc>
          <w:tcPr>
            <w:tcW w:type="dxa" w:w="1234"/>
          </w:tcPr>
          <w:p>
            <w:r>
              <w:rPr>
                <w:rFonts w:ascii="Calibri" w:hAnsi="Calibri"/>
                <w:sz w:val="22"/>
              </w:rPr>
              <w:t>-4.2 ppts YoY</w:t>
            </w:r>
          </w:p>
        </w:tc>
        <w:tc>
          <w:tcPr>
            <w:tcW w:type="dxa" w:w="1234"/>
          </w:tcPr>
          <w:p>
            <w:r>
              <w:rPr>
                <w:rFonts w:ascii="Calibri" w:hAnsi="Calibri"/>
                <w:sz w:val="22"/>
              </w:rPr>
              <w:t>Low-to-mid 90s (worldwide crude utilization)</w:t>
            </w:r>
          </w:p>
        </w:tc>
        <w:tc>
          <w:tcPr>
            <w:tcW w:type="dxa" w:w="1234"/>
          </w:tcPr>
          <w:p>
            <w:r>
              <w:rPr>
                <w:rFonts w:ascii="Calibri" w:hAnsi="Calibri"/>
                <w:sz w:val="22"/>
              </w:rPr>
              <w:t>Consensus above guidance midpoint; strong operational track record</w:t>
            </w:r>
          </w:p>
        </w:tc>
      </w:tr>
      <w:tr>
        <w:tc>
          <w:tcPr>
            <w:tcW w:type="dxa" w:w="1234"/>
          </w:tcPr>
          <w:p>
            <w:r>
              <w:rPr>
                <w:rFonts w:ascii="Calibri" w:hAnsi="Calibri"/>
                <w:sz w:val="22"/>
              </w:rPr>
              <w:t>Controllable Cost ex-T/A per Bbl — Refining ($)</w:t>
            </w:r>
          </w:p>
        </w:tc>
        <w:tc>
          <w:tcPr>
            <w:tcW w:type="dxa" w:w="1234"/>
          </w:tcPr>
          <w:p>
            <w:r>
              <w:rPr>
                <w:rFonts w:ascii="Calibri" w:hAnsi="Calibri"/>
                <w:sz w:val="22"/>
              </w:rPr>
              <w:t>$6.10/bbl</w:t>
            </w:r>
          </w:p>
        </w:tc>
        <w:tc>
          <w:tcPr>
            <w:tcW w:type="dxa" w:w="1234"/>
          </w:tcPr>
          <w:p>
            <w:r>
              <w:rPr>
                <w:rFonts w:ascii="Calibri" w:hAnsi="Calibri"/>
                <w:sz w:val="22"/>
              </w:rPr>
              <w:t>$4.73/bbl</w:t>
            </w:r>
          </w:p>
        </w:tc>
        <w:tc>
          <w:tcPr>
            <w:tcW w:type="dxa" w:w="1234"/>
          </w:tcPr>
          <w:p>
            <w:r>
              <w:rPr>
                <w:rFonts w:ascii="Calibri" w:hAnsi="Calibri"/>
                <w:sz w:val="22"/>
              </w:rPr>
              <w:t>$5.22/bbl</w:t>
            </w:r>
          </w:p>
        </w:tc>
        <w:tc>
          <w:tcPr>
            <w:tcW w:type="dxa" w:w="1234"/>
          </w:tcPr>
          <w:p>
            <w:r>
              <w:rPr>
                <w:rFonts w:ascii="Calibri" w:hAnsi="Calibri"/>
                <w:sz w:val="22"/>
              </w:rPr>
              <w:t>+10.4% YoY</w:t>
            </w:r>
          </w:p>
        </w:tc>
        <w:tc>
          <w:tcPr>
            <w:tcW w:type="dxa" w:w="1234"/>
          </w:tcPr>
          <w:p>
            <w:r>
              <w:rPr>
                <w:rFonts w:ascii="Calibri" w:hAnsi="Calibri"/>
                <w:sz w:val="22"/>
              </w:rPr>
              <w:t>Targeting $5.50/bbl by end-2027; Q1 showed meaningful YoY improvement</w:t>
            </w:r>
          </w:p>
        </w:tc>
        <w:tc>
          <w:tcPr>
            <w:tcW w:type="dxa" w:w="1234"/>
          </w:tcPr>
          <w:p>
            <w:r>
              <w:rPr>
                <w:rFonts w:ascii="Calibri" w:hAnsi="Calibri"/>
                <w:sz w:val="22"/>
              </w:rPr>
              <w:t>Consensus tracking toward target; improvement trajectory intact</w:t>
            </w:r>
          </w:p>
        </w:tc>
      </w:tr>
      <w:tr>
        <w:tc>
          <w:tcPr>
            <w:tcW w:type="dxa" w:w="1234"/>
          </w:tcPr>
          <w:p>
            <w:r>
              <w:rPr>
                <w:rFonts w:ascii="Calibri" w:hAnsi="Calibri"/>
                <w:sz w:val="22"/>
              </w:rPr>
              <w:t>Total Refining Throughput (Mbpd)</w:t>
            </w:r>
          </w:p>
        </w:tc>
        <w:tc>
          <w:tcPr>
            <w:tcW w:type="dxa" w:w="1234"/>
          </w:tcPr>
          <w:p>
            <w:r>
              <w:rPr>
                <w:rFonts w:ascii="Calibri" w:hAnsi="Calibri"/>
                <w:sz w:val="22"/>
              </w:rPr>
              <w:t>2,009 Mbpd</w:t>
            </w:r>
          </w:p>
        </w:tc>
        <w:tc>
          <w:tcPr>
            <w:tcW w:type="dxa" w:w="1234"/>
          </w:tcPr>
          <w:p>
            <w:r>
              <w:rPr>
                <w:rFonts w:ascii="Calibri" w:hAnsi="Calibri"/>
                <w:sz w:val="22"/>
              </w:rPr>
              <w:t>1,921 Mbpd</w:t>
            </w:r>
          </w:p>
        </w:tc>
        <w:tc>
          <w:tcPr>
            <w:tcW w:type="dxa" w:w="1234"/>
          </w:tcPr>
          <w:p>
            <w:r>
              <w:rPr>
                <w:rFonts w:ascii="Calibri" w:hAnsi="Calibri"/>
                <w:sz w:val="22"/>
              </w:rPr>
              <w:t>1,979 Mbpd</w:t>
            </w:r>
          </w:p>
        </w:tc>
        <w:tc>
          <w:tcPr>
            <w:tcW w:type="dxa" w:w="1234"/>
          </w:tcPr>
          <w:p>
            <w:r>
              <w:rPr>
                <w:rFonts w:ascii="Calibri" w:hAnsi="Calibri"/>
                <w:sz w:val="22"/>
              </w:rPr>
              <w:t>+3.0% YoY</w:t>
            </w:r>
          </w:p>
        </w:tc>
        <w:tc>
          <w:tcPr>
            <w:tcW w:type="dxa" w:w="1234"/>
          </w:tcPr>
          <w:p>
            <w:r>
              <w:rPr>
                <w:rFonts w:ascii="Calibri" w:hAnsi="Calibri"/>
                <w:sz w:val="22"/>
              </w:rPr>
              <w:t>Consistent with low-to-mid 90s utilization guidance</w:t>
            </w:r>
          </w:p>
        </w:tc>
        <w:tc>
          <w:tcPr>
            <w:tcW w:type="dxa" w:w="1234"/>
          </w:tcPr>
          <w:p>
            <w:r>
              <w:rPr>
                <w:rFonts w:ascii="Calibri" w:hAnsi="Calibri"/>
                <w:sz w:val="22"/>
              </w:rPr>
              <w:t>In line with guidance</w:t>
            </w:r>
          </w:p>
        </w:tc>
      </w:tr>
    </w:tbl>
    <w:p>
      <w:r>
        <w:rPr>
          <w:rFonts w:ascii="Calibri" w:hAnsi="Calibri"/>
          <w:color w:val="525866"/>
          <w:sz w:val="22"/>
        </w:rPr>
        <w:t>Source: Visible Alpha consensus and actuals data. All figures in USD millions unless noted. Q2 2026 consensus as of August 4, 2026.</w:t>
      </w:r>
    </w:p>
    <w:p>
      <w:pPr>
        <w:pStyle w:val="Heading3"/>
      </w:pPr>
      <w:r>
        <w:rPr>
          <w:rFonts w:ascii="Calibri" w:hAnsi="Calibri"/>
          <w:b/>
          <w:color w:val="3B4259"/>
          <w:sz w:val="24"/>
        </w:rPr>
        <w:t>Table 2 — Beat/Miss History (Last 8 Quarters, Top 2 KPIs)</w:t>
      </w:r>
    </w:p>
    <w:p>
      <w:r>
        <w:rPr>
          <w:rFonts w:ascii="Calibri" w:hAnsi="Calibri"/>
          <w:b/>
          <w:color w:val="525866"/>
          <w:sz w:val="22"/>
        </w:rPr>
        <w:t>KPI 1: Adj. EPS — Diluted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$0.49</w:t>
            </w:r>
          </w:p>
        </w:tc>
        <w:tc>
          <w:tcPr>
            <w:tcW w:type="dxa" w:w="1728"/>
          </w:tcPr>
          <w:p>
            <w:r>
              <w:rPr>
                <w:rFonts w:ascii="Calibri" w:hAnsi="Calibri"/>
                <w:sz w:val="22"/>
              </w:rPr>
              <w:t>-$0.45</w:t>
            </w:r>
          </w:p>
        </w:tc>
        <w:tc>
          <w:tcPr>
            <w:tcW w:type="dxa" w:w="1728"/>
          </w:tcPr>
          <w:p>
            <w:r>
              <w:rPr>
                <w:rFonts w:ascii="Calibri" w:hAnsi="Calibri"/>
                <w:b/>
                <w:color w:val="30A46C"/>
                <w:sz w:val="22"/>
              </w:rPr>
              <w:t>+209%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$2.47</w:t>
            </w:r>
          </w:p>
        </w:tc>
        <w:tc>
          <w:tcPr>
            <w:tcW w:type="dxa" w:w="1728"/>
          </w:tcPr>
          <w:p>
            <w:r>
              <w:rPr>
                <w:rFonts w:ascii="Calibri" w:hAnsi="Calibri"/>
                <w:sz w:val="22"/>
              </w:rPr>
              <w:t>$2.17</w:t>
            </w:r>
          </w:p>
        </w:tc>
        <w:tc>
          <w:tcPr>
            <w:tcW w:type="dxa" w:w="1728"/>
          </w:tcPr>
          <w:p>
            <w:r>
              <w:rPr>
                <w:rFonts w:ascii="Calibri" w:hAnsi="Calibri"/>
                <w:b/>
                <w:color w:val="30A46C"/>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$2.52</w:t>
            </w:r>
          </w:p>
        </w:tc>
        <w:tc>
          <w:tcPr>
            <w:tcW w:type="dxa" w:w="1728"/>
          </w:tcPr>
          <w:p>
            <w:r>
              <w:rPr>
                <w:rFonts w:ascii="Calibri" w:hAnsi="Calibri"/>
                <w:sz w:val="22"/>
              </w:rPr>
              <w:t>$2.15</w:t>
            </w:r>
          </w:p>
        </w:tc>
        <w:tc>
          <w:tcPr>
            <w:tcW w:type="dxa" w:w="1728"/>
          </w:tcPr>
          <w:p>
            <w:r>
              <w:rPr>
                <w:rFonts w:ascii="Calibri" w:hAnsi="Calibri"/>
                <w:b/>
                <w:color w:val="30A46C"/>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$2.38</w:t>
            </w:r>
          </w:p>
        </w:tc>
        <w:tc>
          <w:tcPr>
            <w:tcW w:type="dxa" w:w="1728"/>
          </w:tcPr>
          <w:p>
            <w:r>
              <w:rPr>
                <w:rFonts w:ascii="Calibri" w:hAnsi="Calibri"/>
                <w:sz w:val="22"/>
              </w:rPr>
              <w:t>$1.68</w:t>
            </w:r>
          </w:p>
        </w:tc>
        <w:tc>
          <w:tcPr>
            <w:tcW w:type="dxa" w:w="1728"/>
          </w:tcPr>
          <w:p>
            <w:r>
              <w:rPr>
                <w:rFonts w:ascii="Calibri" w:hAnsi="Calibri"/>
                <w:b/>
                <w:color w:val="30A46C"/>
                <w:sz w:val="22"/>
              </w:rPr>
              <w:t>+42%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-$0.90</w:t>
            </w:r>
          </w:p>
        </w:tc>
        <w:tc>
          <w:tcPr>
            <w:tcW w:type="dxa" w:w="1728"/>
          </w:tcPr>
          <w:p>
            <w:r>
              <w:rPr>
                <w:rFonts w:ascii="Calibri" w:hAnsi="Calibri"/>
                <w:sz w:val="22"/>
              </w:rPr>
              <w:t>-$0.72</w:t>
            </w:r>
          </w:p>
        </w:tc>
        <w:tc>
          <w:tcPr>
            <w:tcW w:type="dxa" w:w="1728"/>
          </w:tcPr>
          <w:p>
            <w:r>
              <w:rPr>
                <w:rFonts w:ascii="Calibri" w:hAnsi="Calibri"/>
                <w:b/>
                <w:color w:val="E5484D"/>
                <w:sz w:val="22"/>
              </w:rPr>
              <w:t>-25%</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-$0.15</w:t>
            </w:r>
          </w:p>
        </w:tc>
        <w:tc>
          <w:tcPr>
            <w:tcW w:type="dxa" w:w="1728"/>
          </w:tcPr>
          <w:p>
            <w:r>
              <w:rPr>
                <w:rFonts w:ascii="Calibri" w:hAnsi="Calibri"/>
                <w:sz w:val="22"/>
              </w:rPr>
              <w:t>-$0.23</w:t>
            </w:r>
          </w:p>
        </w:tc>
        <w:tc>
          <w:tcPr>
            <w:tcW w:type="dxa" w:w="1728"/>
          </w:tcPr>
          <w:p>
            <w:r>
              <w:rPr>
                <w:rFonts w:ascii="Calibri" w:hAnsi="Calibri"/>
                <w:b/>
                <w:color w:val="30A46C"/>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$2.04</w:t>
            </w:r>
          </w:p>
        </w:tc>
        <w:tc>
          <w:tcPr>
            <w:tcW w:type="dxa" w:w="1728"/>
          </w:tcPr>
          <w:p>
            <w:r>
              <w:rPr>
                <w:rFonts w:ascii="Calibri" w:hAnsi="Calibri"/>
                <w:sz w:val="22"/>
              </w:rPr>
              <w:t>$1.65</w:t>
            </w:r>
          </w:p>
        </w:tc>
        <w:tc>
          <w:tcPr>
            <w:tcW w:type="dxa" w:w="1728"/>
          </w:tcPr>
          <w:p>
            <w:r>
              <w:rPr>
                <w:rFonts w:ascii="Calibri" w:hAnsi="Calibri"/>
                <w:b/>
                <w:color w:val="30A46C"/>
                <w:sz w:val="22"/>
              </w:rPr>
              <w:t>+24%</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$2.31</w:t>
            </w:r>
          </w:p>
        </w:tc>
        <w:tc>
          <w:tcPr>
            <w:tcW w:type="dxa" w:w="1728"/>
          </w:tcPr>
          <w:p>
            <w:r>
              <w:rPr>
                <w:rFonts w:ascii="Calibri" w:hAnsi="Calibri"/>
                <w:sz w:val="22"/>
              </w:rPr>
              <w:t>$1.98</w:t>
            </w:r>
          </w:p>
        </w:tc>
        <w:tc>
          <w:tcPr>
            <w:tcW w:type="dxa" w:w="1728"/>
          </w:tcPr>
          <w:p>
            <w:r>
              <w:rPr>
                <w:rFonts w:ascii="Calibri" w:hAnsi="Calibri"/>
                <w:b/>
                <w:color w:val="30A46C"/>
                <w:sz w:val="22"/>
              </w:rPr>
              <w:t>+17%</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PSX has beaten adjusted EPS consensus in 7 of the last 8 quarters, with the sole miss in Q1 2025 driven by mark-to-market hedge losses — the same dynamic that depressed Q1 2026 reported results but was ultimately beaten; the consistent beat pattern reflects management’s conservative guidance posture and commercial execution upside.</w:t>
      </w:r>
    </w:p>
    <w:p>
      <w:r>
        <w:rPr>
          <w:rFonts w:ascii="Calibri" w:hAnsi="Calibri"/>
          <w:b/>
          <w:color w:val="525866"/>
          <w:sz w:val="22"/>
        </w:rPr>
        <w:t>KPI 2: Refining Adjusted EBITDA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$423M</w:t>
            </w:r>
          </w:p>
        </w:tc>
        <w:tc>
          <w:tcPr>
            <w:tcW w:type="dxa" w:w="1728"/>
          </w:tcPr>
          <w:p>
            <w:r>
              <w:rPr>
                <w:rFonts w:ascii="Calibri" w:hAnsi="Calibri"/>
                <w:sz w:val="22"/>
              </w:rPr>
              <w:t>-$70M</w:t>
            </w:r>
          </w:p>
        </w:tc>
        <w:tc>
          <w:tcPr>
            <w:tcW w:type="dxa" w:w="1728"/>
          </w:tcPr>
          <w:p>
            <w:r>
              <w:rPr>
                <w:rFonts w:ascii="Calibri" w:hAnsi="Calibri"/>
                <w:b/>
                <w:color w:val="30A46C"/>
                <w:sz w:val="22"/>
              </w:rPr>
              <w:t>N/M (swing to profit)</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$1,019M</w:t>
            </w:r>
          </w:p>
        </w:tc>
        <w:tc>
          <w:tcPr>
            <w:tcW w:type="dxa" w:w="1728"/>
          </w:tcPr>
          <w:p>
            <w:r>
              <w:rPr>
                <w:rFonts w:ascii="Calibri" w:hAnsi="Calibri"/>
                <w:sz w:val="22"/>
              </w:rPr>
              <w:t>$927M</w:t>
            </w:r>
          </w:p>
        </w:tc>
        <w:tc>
          <w:tcPr>
            <w:tcW w:type="dxa" w:w="1728"/>
          </w:tcPr>
          <w:p>
            <w:r>
              <w:rPr>
                <w:rFonts w:ascii="Calibri" w:hAnsi="Calibri"/>
                <w:b/>
                <w:color w:val="30A46C"/>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$874M</w:t>
            </w:r>
          </w:p>
        </w:tc>
        <w:tc>
          <w:tcPr>
            <w:tcW w:type="dxa" w:w="1728"/>
          </w:tcPr>
          <w:p>
            <w:r>
              <w:rPr>
                <w:rFonts w:ascii="Calibri" w:hAnsi="Calibri"/>
                <w:sz w:val="22"/>
              </w:rPr>
              <w:t>$870M</w:t>
            </w:r>
          </w:p>
        </w:tc>
        <w:tc>
          <w:tcPr>
            <w:tcW w:type="dxa" w:w="1728"/>
          </w:tcPr>
          <w:p>
            <w:r>
              <w:rPr>
                <w:rFonts w:ascii="Calibri" w:hAnsi="Calibri"/>
                <w:b/>
                <w:color w:val="30A46C"/>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$835M</w:t>
            </w:r>
          </w:p>
        </w:tc>
        <w:tc>
          <w:tcPr>
            <w:tcW w:type="dxa" w:w="1728"/>
          </w:tcPr>
          <w:p>
            <w:r>
              <w:rPr>
                <w:rFonts w:ascii="Calibri" w:hAnsi="Calibri"/>
                <w:sz w:val="22"/>
              </w:rPr>
              <w:t>$659M</w:t>
            </w:r>
          </w:p>
        </w:tc>
        <w:tc>
          <w:tcPr>
            <w:tcW w:type="dxa" w:w="1728"/>
          </w:tcPr>
          <w:p>
            <w:r>
              <w:rPr>
                <w:rFonts w:ascii="Calibri" w:hAnsi="Calibri"/>
                <w:b/>
                <w:color w:val="30A46C"/>
                <w:sz w:val="22"/>
              </w:rPr>
              <w:t>+27%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-$481M</w:t>
            </w:r>
          </w:p>
        </w:tc>
        <w:tc>
          <w:tcPr>
            <w:tcW w:type="dxa" w:w="1728"/>
          </w:tcPr>
          <w:p>
            <w:r>
              <w:rPr>
                <w:rFonts w:ascii="Calibri" w:hAnsi="Calibri"/>
                <w:sz w:val="22"/>
              </w:rPr>
              <w:t>-$494M</w:t>
            </w:r>
          </w:p>
        </w:tc>
        <w:tc>
          <w:tcPr>
            <w:tcW w:type="dxa" w:w="1728"/>
          </w:tcPr>
          <w:p>
            <w:r>
              <w:rPr>
                <w:rFonts w:ascii="Calibri" w:hAnsi="Calibri"/>
                <w:b/>
                <w:color w:val="30A46C"/>
                <w:sz w:val="22"/>
              </w:rPr>
              <w:t>+3%</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-$324M</w:t>
            </w:r>
          </w:p>
        </w:tc>
        <w:tc>
          <w:tcPr>
            <w:tcW w:type="dxa" w:w="1728"/>
          </w:tcPr>
          <w:p>
            <w:r>
              <w:rPr>
                <w:rFonts w:ascii="Calibri" w:hAnsi="Calibri"/>
                <w:sz w:val="22"/>
              </w:rPr>
              <w:t>-$375M</w:t>
            </w:r>
          </w:p>
        </w:tc>
        <w:tc>
          <w:tcPr>
            <w:tcW w:type="dxa" w:w="1728"/>
          </w:tcPr>
          <w:p>
            <w:r>
              <w:rPr>
                <w:rFonts w:ascii="Calibri" w:hAnsi="Calibri"/>
                <w:b/>
                <w:color w:val="30A46C"/>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$163M</w:t>
            </w:r>
          </w:p>
        </w:tc>
        <w:tc>
          <w:tcPr>
            <w:tcW w:type="dxa" w:w="1728"/>
          </w:tcPr>
          <w:p>
            <w:r>
              <w:rPr>
                <w:rFonts w:ascii="Calibri" w:hAnsi="Calibri"/>
                <w:sz w:val="22"/>
              </w:rPr>
              <w:t>$133M</w:t>
            </w:r>
          </w:p>
        </w:tc>
        <w:tc>
          <w:tcPr>
            <w:tcW w:type="dxa" w:w="1728"/>
          </w:tcPr>
          <w:p>
            <w:r>
              <w:rPr>
                <w:rFonts w:ascii="Calibri" w:hAnsi="Calibri"/>
                <w:b/>
                <w:color w:val="30A46C"/>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$506M</w:t>
            </w:r>
          </w:p>
        </w:tc>
        <w:tc>
          <w:tcPr>
            <w:tcW w:type="dxa" w:w="1728"/>
          </w:tcPr>
          <w:p>
            <w:r>
              <w:rPr>
                <w:rFonts w:ascii="Calibri" w:hAnsi="Calibri"/>
                <w:sz w:val="22"/>
              </w:rPr>
              <w:t>$413M</w:t>
            </w:r>
          </w:p>
        </w:tc>
        <w:tc>
          <w:tcPr>
            <w:tcW w:type="dxa" w:w="1728"/>
          </w:tcPr>
          <w:p>
            <w:r>
              <w:rPr>
                <w:rFonts w:ascii="Calibri" w:hAnsi="Calibri"/>
                <w:b/>
                <w:color w:val="30A46C"/>
                <w:sz w:val="22"/>
              </w:rPr>
              <w:t>+22%</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PSX has beaten Refining Adjusted EBITDA consensus in all 8 of the last 8 quarters, with an average surprise of ~+25% (excluding the Q1 2026 N/M swing); the consistent beat pattern reflects both conservative guidance and commercial capture upside from crude optimization and trading.</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2026 earnings call (April 29, 2026), but management’s tone has shifted to actively bullish across refining, chemicals, and renewable fuels — the Western Gateway Pipeline FID is now targeted for mid-to-late summer 2026, and the Zeus Gas Plant / third Coastal Bend Fractionator received FID in May 2026, extending the midstream growth runway.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Worldwide Crude Utilization</w:t>
            </w:r>
          </w:p>
        </w:tc>
        <w:tc>
          <w:tcPr>
            <w:tcW w:type="dxa" w:w="1728"/>
          </w:tcPr>
          <w:p>
            <w:r>
              <w:rPr>
                <w:rFonts w:ascii="Calibri" w:hAnsi="Calibri"/>
                <w:sz w:val="22"/>
              </w:rPr>
              <w:t>Low-to-mid 90s (%)</w:t>
            </w:r>
          </w:p>
        </w:tc>
        <w:tc>
          <w:tcPr>
            <w:tcW w:type="dxa" w:w="1728"/>
          </w:tcPr>
          <w:p>
            <w:r>
              <w:rPr>
                <w:rFonts w:ascii="Calibri" w:hAnsi="Calibri"/>
                <w:sz w:val="22"/>
              </w:rPr>
              <w:t>—</w:t>
            </w:r>
          </w:p>
        </w:tc>
        <w:tc>
          <w:tcPr>
            <w:tcW w:type="dxa" w:w="1728"/>
          </w:tcPr>
          <w:p>
            <w:r>
              <w:rPr>
                <w:rFonts w:ascii="Calibri" w:hAnsi="Calibri"/>
                <w:sz w:val="22"/>
              </w:rPr>
              <w:t>~100.1% (consensus)</w:t>
            </w:r>
          </w:p>
        </w:tc>
        <w:tc>
          <w:tcPr>
            <w:tcW w:type="dxa" w:w="1728"/>
          </w:tcPr>
          <w:p>
            <w:r>
              <w:rPr>
                <w:rFonts w:ascii="Calibri" w:hAnsi="Calibri"/>
                <w:sz w:val="22"/>
              </w:rPr>
              <w:t>Unchanged; consensus above guidance midpoint, consistent with PSX’s track record of running above guidance</w:t>
            </w:r>
          </w:p>
        </w:tc>
      </w:tr>
      <w:tr>
        <w:tc>
          <w:tcPr>
            <w:tcW w:type="dxa" w:w="1728"/>
          </w:tcPr>
          <w:p>
            <w:r>
              <w:rPr>
                <w:rFonts w:ascii="Calibri" w:hAnsi="Calibri"/>
                <w:sz w:val="22"/>
              </w:rPr>
              <w:t>Q2 2026 Turnaround Expense</w:t>
            </w:r>
          </w:p>
        </w:tc>
        <w:tc>
          <w:tcPr>
            <w:tcW w:type="dxa" w:w="1728"/>
          </w:tcPr>
          <w:p>
            <w:r>
              <w:rPr>
                <w:rFonts w:ascii="Calibri" w:hAnsi="Calibri"/>
                <w:sz w:val="22"/>
              </w:rPr>
              <w:t>$120M – $150M</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Unchanged; lighter T/A quarter vs. Q1; favorable cost tailwind</w:t>
            </w:r>
          </w:p>
        </w:tc>
      </w:tr>
      <w:tr>
        <w:tc>
          <w:tcPr>
            <w:tcW w:type="dxa" w:w="1728"/>
          </w:tcPr>
          <w:p>
            <w:r>
              <w:rPr>
                <w:rFonts w:ascii="Calibri" w:hAnsi="Calibri"/>
                <w:sz w:val="22"/>
              </w:rPr>
              <w:t>Q2 2026 Corporate &amp; Other Costs</w:t>
            </w:r>
          </w:p>
        </w:tc>
        <w:tc>
          <w:tcPr>
            <w:tcW w:type="dxa" w:w="1728"/>
          </w:tcPr>
          <w:p>
            <w:r>
              <w:rPr>
                <w:rFonts w:ascii="Calibri" w:hAnsi="Calibri"/>
                <w:sz w:val="22"/>
              </w:rPr>
              <w:t>$430M – $450M</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Unchanged</w:t>
            </w:r>
          </w:p>
        </w:tc>
      </w:tr>
      <w:tr>
        <w:tc>
          <w:tcPr>
            <w:tcW w:type="dxa" w:w="1728"/>
          </w:tcPr>
          <w:p>
            <w:r>
              <w:rPr>
                <w:rFonts w:ascii="Calibri" w:hAnsi="Calibri"/>
                <w:sz w:val="22"/>
              </w:rPr>
              <w:t>Q2 2026 Chemicals O&amp;P Utilization</w:t>
            </w:r>
          </w:p>
        </w:tc>
        <w:tc>
          <w:tcPr>
            <w:tcW w:type="dxa" w:w="1728"/>
          </w:tcPr>
          <w:p>
            <w:r>
              <w:rPr>
                <w:rFonts w:ascii="Calibri" w:hAnsi="Calibri"/>
                <w:sz w:val="22"/>
              </w:rPr>
              <w:t>Low 80s (%)</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Unchanged; Middle East JV uncertainty flagged; CVX confirmed CPChem margins “buoyant” in Q2</w:t>
            </w:r>
          </w:p>
        </w:tc>
      </w:tr>
      <w:tr>
        <w:tc>
          <w:tcPr>
            <w:tcW w:type="dxa" w:w="1728"/>
          </w:tcPr>
          <w:p>
            <w:r>
              <w:rPr>
                <w:rFonts w:ascii="Calibri" w:hAnsi="Calibri"/>
                <w:sz w:val="22"/>
              </w:rPr>
              <w:t>Refining Controllable Cost Target</w:t>
            </w:r>
          </w:p>
        </w:tc>
        <w:tc>
          <w:tcPr>
            <w:tcW w:type="dxa" w:w="1728"/>
          </w:tcPr>
          <w:p>
            <w:r>
              <w:rPr>
                <w:rFonts w:ascii="Calibri" w:hAnsi="Calibri"/>
                <w:sz w:val="22"/>
              </w:rPr>
              <w:t>$5.50/bbl by end-2027</w:t>
            </w:r>
          </w:p>
        </w:tc>
        <w:tc>
          <w:tcPr>
            <w:tcW w:type="dxa" w:w="1728"/>
          </w:tcPr>
          <w:p>
            <w:r>
              <w:rPr>
                <w:rFonts w:ascii="Calibri" w:hAnsi="Calibri"/>
                <w:sz w:val="22"/>
              </w:rPr>
              <w:t>—</w:t>
            </w:r>
          </w:p>
        </w:tc>
        <w:tc>
          <w:tcPr>
            <w:tcW w:type="dxa" w:w="1728"/>
          </w:tcPr>
          <w:p>
            <w:r>
              <w:rPr>
                <w:rFonts w:ascii="Calibri" w:hAnsi="Calibri"/>
                <w:sz w:val="22"/>
              </w:rPr>
              <w:t>$5.22/bbl (Q2 2026 consensus)</w:t>
            </w:r>
          </w:p>
        </w:tc>
        <w:tc>
          <w:tcPr>
            <w:tcW w:type="dxa" w:w="1728"/>
          </w:tcPr>
          <w:p>
            <w:r>
              <w:rPr>
                <w:rFonts w:ascii="Calibri" w:hAnsi="Calibri"/>
                <w:sz w:val="22"/>
              </w:rPr>
              <w:t>Unchanged; consensus tracking ahead of target; management described Q1 as “within striking range” of 2027 target when normalized for nat gas</w:t>
            </w:r>
          </w:p>
        </w:tc>
      </w:tr>
      <w:tr>
        <w:tc>
          <w:tcPr>
            <w:tcW w:type="dxa" w:w="1728"/>
          </w:tcPr>
          <w:p>
            <w:r>
              <w:rPr>
                <w:rFonts w:ascii="Calibri" w:hAnsi="Calibri"/>
                <w:sz w:val="22"/>
              </w:rPr>
              <w:t>Midstream Adj. EBITDA Run Rate Target</w:t>
            </w:r>
          </w:p>
        </w:tc>
        <w:tc>
          <w:tcPr>
            <w:tcW w:type="dxa" w:w="1728"/>
          </w:tcPr>
          <w:p>
            <w:r>
              <w:rPr>
                <w:rFonts w:ascii="Calibri" w:hAnsi="Calibri"/>
                <w:sz w:val="22"/>
              </w:rPr>
              <w:t>$4.0B → $4.5B by end-2027</w:t>
            </w:r>
          </w:p>
        </w:tc>
        <w:tc>
          <w:tcPr>
            <w:tcW w:type="dxa" w:w="1728"/>
          </w:tcPr>
          <w:p>
            <w:r>
              <w:rPr>
                <w:rFonts w:ascii="Calibri" w:hAnsi="Calibri"/>
                <w:sz w:val="22"/>
              </w:rPr>
              <w:t>—</w:t>
            </w:r>
          </w:p>
        </w:tc>
        <w:tc>
          <w:tcPr>
            <w:tcW w:type="dxa" w:w="1728"/>
          </w:tcPr>
          <w:p>
            <w:r>
              <w:rPr>
                <w:rFonts w:ascii="Calibri" w:hAnsi="Calibri"/>
                <w:sz w:val="22"/>
              </w:rPr>
              <w:t>$3.91B FY2026 consensus</w:t>
            </w:r>
          </w:p>
        </w:tc>
        <w:tc>
          <w:tcPr>
            <w:tcW w:type="dxa" w:w="1728"/>
          </w:tcPr>
          <w:p>
            <w:r>
              <w:rPr>
                <w:rFonts w:ascii="Calibri" w:hAnsi="Calibri"/>
                <w:sz w:val="22"/>
              </w:rPr>
              <w:t>Unchanged; Zeus Gas Plant + 3rd Coastal Bend Fractionator received FID May 2026, extending runway to 2028</w:t>
            </w:r>
          </w:p>
        </w:tc>
      </w:tr>
      <w:tr>
        <w:tc>
          <w:tcPr>
            <w:tcW w:type="dxa" w:w="1728"/>
          </w:tcPr>
          <w:p>
            <w:r>
              <w:rPr>
                <w:rFonts w:ascii="Calibri" w:hAnsi="Calibri"/>
                <w:sz w:val="22"/>
              </w:rPr>
              <w:t>Annual Debt Reduction Target</w:t>
            </w:r>
          </w:p>
        </w:tc>
        <w:tc>
          <w:tcPr>
            <w:tcW w:type="dxa" w:w="1728"/>
          </w:tcPr>
          <w:p>
            <w:r>
              <w:rPr>
                <w:rFonts w:ascii="Calibri" w:hAnsi="Calibri"/>
                <w:sz w:val="22"/>
              </w:rPr>
              <w:t>~$1.5B/year in 2026 and 2027; target $17B total debt</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Unchanged; management noted target could be reached ahead of schedule if cash flows exceed expectations</w:t>
            </w:r>
          </w:p>
        </w:tc>
      </w:tr>
      <w:tr>
        <w:tc>
          <w:tcPr>
            <w:tcW w:type="dxa" w:w="1728"/>
          </w:tcPr>
          <w:p>
            <w:r>
              <w:rPr>
                <w:rFonts w:ascii="Calibri" w:hAnsi="Calibri"/>
                <w:sz w:val="22"/>
              </w:rPr>
              <w:t>Western Gateway Pipeline FID</w:t>
            </w:r>
          </w:p>
        </w:tc>
        <w:tc>
          <w:tcPr>
            <w:tcW w:type="dxa" w:w="1728"/>
          </w:tcPr>
          <w:p>
            <w:r>
              <w:rPr>
                <w:rFonts w:ascii="Calibri" w:hAnsi="Calibri"/>
                <w:sz w:val="22"/>
              </w:rPr>
              <w:t>Mid-to-late summer 2026 (2029 in-service)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JV arrangements with Kinder Morgan and shipper transportation agreements being finalized; FID imminent</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sharply higher since the Q1 2026 print — Q2 2026 EPS consensus is up +27% and Refining EBITDA is up +30% from the post-Q1 baseline — tracking the strong refining macro signals from peers; </w:t>
      </w:r>
      <w:r>
        <w:rPr>
          <w:rFonts w:ascii="Calibri" w:hAnsi="Calibri"/>
          <w:b/>
          <w:color w:val="525866"/>
          <w:sz w:val="22"/>
        </w:rPr>
        <w:t>the gap between current consensus and Q1 guidance is a potential cushion rather than a risk</w:t>
      </w:r>
      <w:r>
        <w:rPr>
          <w:rFonts w:ascii="Calibri" w:hAnsi="Calibri"/>
          <w:color w:val="525866"/>
          <w:sz w:val="22"/>
        </w:rPr>
        <w:t>, given PSX’s consistent history of beating conservative guidance.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5,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Diluted Operating (Q2 2026)</w:t>
            </w:r>
          </w:p>
        </w:tc>
        <w:tc>
          <w:tcPr>
            <w:tcW w:type="dxa" w:w="1080"/>
          </w:tcPr>
          <w:p>
            <w:r>
              <w:rPr>
                <w:rFonts w:ascii="Calibri" w:hAnsi="Calibri"/>
                <w:sz w:val="22"/>
              </w:rPr>
              <w:t>$6.04</w:t>
            </w:r>
          </w:p>
        </w:tc>
        <w:tc>
          <w:tcPr>
            <w:tcW w:type="dxa" w:w="1080"/>
          </w:tcPr>
          <w:p>
            <w:r>
              <w:rPr>
                <w:rFonts w:ascii="Calibri" w:hAnsi="Calibri"/>
                <w:sz w:val="22"/>
              </w:rPr>
              <w:t>$7.68</w:t>
            </w:r>
          </w:p>
        </w:tc>
        <w:tc>
          <w:tcPr>
            <w:tcW w:type="dxa" w:w="1080"/>
          </w:tcPr>
          <w:p>
            <w:r>
              <w:rPr>
                <w:rFonts w:ascii="Calibri" w:hAnsi="Calibri"/>
                <w:b/>
                <w:color w:val="30A46C"/>
                <w:sz w:val="22"/>
              </w:rPr>
              <w:t>+27.2%</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Diluted Operating (FY 2026)</w:t>
            </w:r>
          </w:p>
        </w:tc>
        <w:tc>
          <w:tcPr>
            <w:tcW w:type="dxa" w:w="1080"/>
          </w:tcPr>
          <w:p>
            <w:r>
              <w:rPr>
                <w:rFonts w:ascii="Calibri" w:hAnsi="Calibri"/>
                <w:sz w:val="22"/>
              </w:rPr>
              <w:t>$16.97</w:t>
            </w:r>
          </w:p>
        </w:tc>
        <w:tc>
          <w:tcPr>
            <w:tcW w:type="dxa" w:w="1080"/>
          </w:tcPr>
          <w:p>
            <w:r>
              <w:rPr>
                <w:rFonts w:ascii="Calibri" w:hAnsi="Calibri"/>
                <w:sz w:val="22"/>
              </w:rPr>
              <w:t>$21.71</w:t>
            </w:r>
          </w:p>
        </w:tc>
        <w:tc>
          <w:tcPr>
            <w:tcW w:type="dxa" w:w="1080"/>
          </w:tcPr>
          <w:p>
            <w:r>
              <w:rPr>
                <w:rFonts w:ascii="Calibri" w:hAnsi="Calibri"/>
                <w:b/>
                <w:color w:val="30A46C"/>
                <w:sz w:val="22"/>
              </w:rPr>
              <w:t>+27.9%</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Refining Adj. EBITDA (Q2 2026)</w:t>
            </w:r>
          </w:p>
        </w:tc>
        <w:tc>
          <w:tcPr>
            <w:tcW w:type="dxa" w:w="1080"/>
          </w:tcPr>
          <w:p>
            <w:r>
              <w:rPr>
                <w:rFonts w:ascii="Calibri" w:hAnsi="Calibri"/>
                <w:sz w:val="22"/>
              </w:rPr>
              <w:t>$2,243M</w:t>
            </w:r>
          </w:p>
        </w:tc>
        <w:tc>
          <w:tcPr>
            <w:tcW w:type="dxa" w:w="1080"/>
          </w:tcPr>
          <w:p>
            <w:r>
              <w:rPr>
                <w:rFonts w:ascii="Calibri" w:hAnsi="Calibri"/>
                <w:sz w:val="22"/>
              </w:rPr>
              <w:t>$2,923M</w:t>
            </w:r>
          </w:p>
        </w:tc>
        <w:tc>
          <w:tcPr>
            <w:tcW w:type="dxa" w:w="1080"/>
          </w:tcPr>
          <w:p>
            <w:r>
              <w:rPr>
                <w:rFonts w:ascii="Calibri" w:hAnsi="Calibri"/>
                <w:b/>
                <w:color w:val="30A46C"/>
                <w:sz w:val="22"/>
              </w:rPr>
              <w:t>+30.3%</w:t>
            </w:r>
          </w:p>
        </w:tc>
        <w:tc>
          <w:tcPr>
            <w:tcW w:type="dxa" w:w="1080"/>
          </w:tcPr>
          <w:p>
            <w:r>
              <w:rPr>
                <w:rFonts w:ascii="Calibri" w:hAnsi="Calibri"/>
                <w:sz w:val="22"/>
              </w:rPr>
              <w:t>Crude util. low-to-mid 90s; T/A $120–$150M</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Consensus well above guidance range (macro-driven)</w:t>
            </w:r>
          </w:p>
        </w:tc>
      </w:tr>
      <w:tr>
        <w:tc>
          <w:tcPr>
            <w:tcW w:type="dxa" w:w="1080"/>
          </w:tcPr>
          <w:p>
            <w:r>
              <w:rPr>
                <w:rFonts w:ascii="Calibri" w:hAnsi="Calibri"/>
                <w:sz w:val="22"/>
              </w:rPr>
              <w:t>Refining Adj. EBITDA (FY 2026)</w:t>
            </w:r>
          </w:p>
        </w:tc>
        <w:tc>
          <w:tcPr>
            <w:tcW w:type="dxa" w:w="1080"/>
          </w:tcPr>
          <w:p>
            <w:r>
              <w:rPr>
                <w:rFonts w:ascii="Calibri" w:hAnsi="Calibri"/>
                <w:sz w:val="22"/>
              </w:rPr>
              <w:t>$6,588M</w:t>
            </w:r>
          </w:p>
        </w:tc>
        <w:tc>
          <w:tcPr>
            <w:tcW w:type="dxa" w:w="1080"/>
          </w:tcPr>
          <w:p>
            <w:r>
              <w:rPr>
                <w:rFonts w:ascii="Calibri" w:hAnsi="Calibri"/>
                <w:sz w:val="22"/>
              </w:rPr>
              <w:t>$7,899M</w:t>
            </w:r>
          </w:p>
        </w:tc>
        <w:tc>
          <w:tcPr>
            <w:tcW w:type="dxa" w:w="1080"/>
          </w:tcPr>
          <w:p>
            <w:r>
              <w:rPr>
                <w:rFonts w:ascii="Calibri" w:hAnsi="Calibri"/>
                <w:b/>
                <w:color w:val="30A46C"/>
                <w:sz w:val="22"/>
              </w:rPr>
              <w:t>+19.9%</w:t>
            </w:r>
          </w:p>
        </w:tc>
        <w:tc>
          <w:tcPr>
            <w:tcW w:type="dxa" w:w="1080"/>
          </w:tcPr>
          <w:p>
            <w:r>
              <w:rPr>
                <w:rFonts w:ascii="Calibri" w:hAnsi="Calibri"/>
                <w:sz w:val="22"/>
              </w:rPr>
              <w:t>No FY guidance provided</w:t>
            </w:r>
          </w:p>
        </w:tc>
        <w:tc>
          <w:tcPr>
            <w:tcW w:type="dxa" w:w="1080"/>
          </w:tcPr>
          <w:p>
            <w:r>
              <w:rPr>
                <w:rFonts w:ascii="Calibri" w:hAnsi="Calibri"/>
                <w:sz w:val="22"/>
              </w:rPr>
              <w:t>No FY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Midstream Adj. EBITDA (Q2 2026)</w:t>
            </w:r>
          </w:p>
        </w:tc>
        <w:tc>
          <w:tcPr>
            <w:tcW w:type="dxa" w:w="1080"/>
          </w:tcPr>
          <w:p>
            <w:r>
              <w:rPr>
                <w:rFonts w:ascii="Calibri" w:hAnsi="Calibri"/>
                <w:sz w:val="22"/>
              </w:rPr>
              <w:t>$999M</w:t>
            </w:r>
          </w:p>
        </w:tc>
        <w:tc>
          <w:tcPr>
            <w:tcW w:type="dxa" w:w="1080"/>
          </w:tcPr>
          <w:p>
            <w:r>
              <w:rPr>
                <w:rFonts w:ascii="Calibri" w:hAnsi="Calibri"/>
                <w:sz w:val="22"/>
              </w:rPr>
              <w:t>$998M</w:t>
            </w:r>
          </w:p>
        </w:tc>
        <w:tc>
          <w:tcPr>
            <w:tcW w:type="dxa" w:w="1080"/>
          </w:tcPr>
          <w:p>
            <w:r>
              <w:rPr>
                <w:rFonts w:ascii="Calibri" w:hAnsi="Calibri"/>
                <w:sz w:val="22"/>
              </w:rPr>
              <w:t>-0.1%</w:t>
            </w:r>
          </w:p>
        </w:tc>
        <w:tc>
          <w:tcPr>
            <w:tcW w:type="dxa" w:w="1080"/>
          </w:tcPr>
          <w:p>
            <w:r>
              <w:rPr>
                <w:rFonts w:ascii="Calibri" w:hAnsi="Calibri"/>
                <w:sz w:val="22"/>
              </w:rPr>
              <w:t>No specific guidance</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N/A</w:t>
            </w:r>
          </w:p>
        </w:tc>
      </w:tr>
      <w:tr>
        <w:tc>
          <w:tcPr>
            <w:tcW w:type="dxa" w:w="1080"/>
          </w:tcPr>
          <w:p>
            <w:r>
              <w:rPr>
                <w:rFonts w:ascii="Calibri" w:hAnsi="Calibri"/>
                <w:sz w:val="22"/>
              </w:rPr>
              <w:t>Midstream Adj. EBITDA (FY 2026)</w:t>
            </w:r>
          </w:p>
        </w:tc>
        <w:tc>
          <w:tcPr>
            <w:tcW w:type="dxa" w:w="1080"/>
          </w:tcPr>
          <w:p>
            <w:r>
              <w:rPr>
                <w:rFonts w:ascii="Calibri" w:hAnsi="Calibri"/>
                <w:sz w:val="22"/>
              </w:rPr>
              <w:t>$3,925M</w:t>
            </w:r>
          </w:p>
        </w:tc>
        <w:tc>
          <w:tcPr>
            <w:tcW w:type="dxa" w:w="1080"/>
          </w:tcPr>
          <w:p>
            <w:r>
              <w:rPr>
                <w:rFonts w:ascii="Calibri" w:hAnsi="Calibri"/>
                <w:sz w:val="22"/>
              </w:rPr>
              <w:t>$3,909M</w:t>
            </w:r>
          </w:p>
        </w:tc>
        <w:tc>
          <w:tcPr>
            <w:tcW w:type="dxa" w:w="1080"/>
          </w:tcPr>
          <w:p>
            <w:r>
              <w:rPr>
                <w:rFonts w:ascii="Calibri" w:hAnsi="Calibri"/>
                <w:sz w:val="22"/>
              </w:rPr>
              <w:t>-0.4%</w:t>
            </w:r>
          </w:p>
        </w:tc>
        <w:tc>
          <w:tcPr>
            <w:tcW w:type="dxa" w:w="1080"/>
          </w:tcPr>
          <w:p>
            <w:r>
              <w:rPr>
                <w:rFonts w:ascii="Calibri" w:hAnsi="Calibri"/>
                <w:sz w:val="22"/>
              </w:rPr>
              <w:t>$4.0B–$4.5B run rate by end-2027</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Tracking toward target</w:t>
            </w:r>
          </w:p>
        </w:tc>
      </w:tr>
      <w:tr>
        <w:tc>
          <w:tcPr>
            <w:tcW w:type="dxa" w:w="1080"/>
          </w:tcPr>
          <w:p>
            <w:r>
              <w:rPr>
                <w:rFonts w:ascii="Calibri" w:hAnsi="Calibri"/>
                <w:sz w:val="22"/>
              </w:rPr>
              <w:t>Chemicals Adj. EBITDA (Q2 2026)</w:t>
            </w:r>
          </w:p>
        </w:tc>
        <w:tc>
          <w:tcPr>
            <w:tcW w:type="dxa" w:w="1080"/>
          </w:tcPr>
          <w:p>
            <w:r>
              <w:rPr>
                <w:rFonts w:ascii="Calibri" w:hAnsi="Calibri"/>
                <w:sz w:val="22"/>
              </w:rPr>
              <w:t>$357M</w:t>
            </w:r>
          </w:p>
        </w:tc>
        <w:tc>
          <w:tcPr>
            <w:tcW w:type="dxa" w:w="1080"/>
          </w:tcPr>
          <w:p>
            <w:r>
              <w:rPr>
                <w:rFonts w:ascii="Calibri" w:hAnsi="Calibri"/>
                <w:sz w:val="22"/>
              </w:rPr>
              <w:t>$389M</w:t>
            </w:r>
          </w:p>
        </w:tc>
        <w:tc>
          <w:tcPr>
            <w:tcW w:type="dxa" w:w="1080"/>
          </w:tcPr>
          <w:p>
            <w:r>
              <w:rPr>
                <w:rFonts w:ascii="Calibri" w:hAnsi="Calibri"/>
                <w:b/>
                <w:color w:val="30A46C"/>
                <w:sz w:val="22"/>
              </w:rPr>
              <w:t>+9.0%</w:t>
            </w:r>
          </w:p>
        </w:tc>
        <w:tc>
          <w:tcPr>
            <w:tcW w:type="dxa" w:w="1080"/>
          </w:tcPr>
          <w:p>
            <w:r>
              <w:rPr>
                <w:rFonts w:ascii="Calibri" w:hAnsi="Calibri"/>
                <w:sz w:val="22"/>
              </w:rPr>
              <w:t>O&amp;P utilization low 80s</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Consensus above guidance; CVX confirmed CPChem margins “buoyant”</w:t>
            </w:r>
          </w:p>
        </w:tc>
      </w:tr>
    </w:tbl>
    <w:p>
      <w:r>
        <w:rPr>
          <w:rFonts w:ascii="Calibri" w:hAnsi="Calibri"/>
          <w:color w:val="525866"/>
          <w:sz w:val="22"/>
        </w:rPr>
        <w:t>Source: Visible Alpha consensus and actuals data. Post-Q1 baseline as of May 5, 2026 (5 trading days after April 29, 2026 earnings). The sharp upward revision in EPS and Refining EBITDA since the Q1 print reflects the strong refining macro environment confirmed by VLO (Q2 refining operating income of $4.5B, up from $1.3B YoY) and MPC (Q2 R&amp;M EBITDA/bbl of $24.84 with 112% capture rate) — both reporting before PSX. Midstream estimates are stable, reflecting the predictable, fee-based nature of that segment.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PSX has dramatically outperformed both its sector ETF (XLE) and the broader market since Q1 2026 earnings — up ~+19% vs. XLE -1% and SPY +8% — driven by a combination of estimate revisions (EPS consensus up ~+28% since the print) and multiple re-rating as the market gains confidence in the refining macro recovery and PSX’s transformation narrative; the stock’s outperformance raises the bar for a positive reaction on Q2 results.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PSX vs. XLE vs. S&amp;P 500 — Indexed to 100 at Q1 2026 Earnings (April 29, 2026). Sector ETF: XLE (Energy Select Sector SPDR), appropriate for PSX’s downstream/integrated energy sub-sector.</w:t>
      </w:r>
    </w:p>
    <w:p>
      <w:pPr>
        <w:pStyle w:val="ListBullet"/>
        <w:ind w:left="360" w:hanging="360"/>
      </w:pPr>
      <w:r>
        <w:rPr>
          <w:rFonts w:ascii="Calibri" w:hAnsi="Calibri"/>
          <w:color w:val="525866"/>
          <w:sz w:val="22"/>
        </w:rPr>
        <w:t>PSX total return since Q1 earnings: +18.7% (indexed to 118.7 from base 100)</w:t>
      </w:r>
    </w:p>
    <w:p>
      <w:pPr>
        <w:pStyle w:val="ListBullet"/>
        <w:ind w:left="360" w:hanging="360"/>
      </w:pPr>
      <w:r>
        <w:rPr>
          <w:rFonts w:ascii="Calibri" w:hAnsi="Calibri"/>
          <w:color w:val="525866"/>
          <w:sz w:val="22"/>
        </w:rPr>
        <w:t>XLE total return since Q1 earnings: -0.9% (indexed to 99.1 from base 100)</w:t>
      </w:r>
    </w:p>
    <w:p>
      <w:pPr>
        <w:pStyle w:val="ListBullet"/>
        <w:ind w:left="360" w:hanging="360"/>
      </w:pPr>
      <w:r>
        <w:rPr>
          <w:rFonts w:ascii="Calibri" w:hAnsi="Calibri"/>
          <w:color w:val="525866"/>
          <w:sz w:val="22"/>
        </w:rPr>
        <w:t>SPY total return since Q1 earnings: +8.4% (indexed to 108.4 from base 100)</w:t>
      </w:r>
    </w:p>
    <w:p>
      <w:pPr>
        <w:pStyle w:val="ListBullet"/>
        <w:ind w:left="360" w:hanging="360"/>
      </w:pPr>
      <w:r>
        <w:rPr>
          <w:rFonts w:ascii="Calibri" w:hAnsi="Calibri"/>
          <w:color w:val="525866"/>
          <w:sz w:val="22"/>
        </w:rPr>
        <w:t>PSX’s outperformance vs. XLE of ~+20 ppts reflects both the strong refining macro (which lifted all refiners) and PSX-specific re-rating as the transformation narrative gains credibility</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 xml:space="preserve">VLO, MPC, XOM, and CVX all reported Q2 2026 results before PSX and collectively confirm an exceptionally strong refining macro environment — record margins, tight global product inventories, and constructive crude differentials — that directly benefits PSX’s refining, chemicals, and renewable fuels segments; </w:t>
      </w:r>
      <w:r>
        <w:rPr>
          <w:rFonts w:ascii="Calibri" w:hAnsi="Calibri"/>
          <w:b/>
          <w:color w:val="525866"/>
          <w:sz w:val="22"/>
        </w:rPr>
        <w:t>the read-through is unambiguously positive for PSX’s Q2 print</w:t>
      </w:r>
      <w:r>
        <w:rPr>
          <w:rFonts w:ascii="Calibri" w:hAnsi="Calibri"/>
          <w:color w:val="525866"/>
          <w:sz w:val="22"/>
        </w:rPr>
        <w:t>, with the key question being the magnitude of commercial capture and mark-to-market reversal.</w:t>
      </w:r>
    </w:p>
    <w:p>
      <w:pPr>
        <w:pStyle w:val="Heading3"/>
      </w:pPr>
      <w:r>
        <w:rPr>
          <w:rFonts w:ascii="Calibri" w:hAnsi="Calibri"/>
          <w:b/>
          <w:color w:val="3B4259"/>
          <w:sz w:val="24"/>
        </w:rPr>
        <w:t>Valero Energy (VLO) — Q2 2026 Earnings (Reported July 30, 2026)</w:t>
      </w:r>
    </w:p>
    <w:p>
      <w:r>
        <w:rPr>
          <w:rFonts w:ascii="Calibri" w:hAnsi="Calibri"/>
          <w:b/>
          <w:color w:val="525866"/>
          <w:sz w:val="22"/>
        </w:rPr>
        <w:t xml:space="preserve">Read-Through: </w:t>
      </w:r>
      <w:r>
        <w:rPr>
          <w:rFonts w:ascii="Calibri" w:hAnsi="Calibri"/>
          <w:color w:val="525866"/>
          <w:sz w:val="22"/>
        </w:rPr>
        <w:t>Strongly positive for PSX refining and chemicals.</w:t>
      </w:r>
    </w:p>
    <w:p>
      <w:pPr>
        <w:pStyle w:val="ListBullet"/>
        <w:ind w:left="360" w:hanging="360"/>
      </w:pPr>
      <w:r>
        <w:rPr>
          <w:rFonts w:ascii="Calibri" w:hAnsi="Calibri"/>
          <w:b/>
          <w:color w:val="525866"/>
          <w:sz w:val="22"/>
        </w:rPr>
        <w:t xml:space="preserve">Refining margins: </w:t>
      </w:r>
      <w:r>
        <w:rPr>
          <w:rFonts w:ascii="Calibri" w:hAnsi="Calibri"/>
          <w:color w:val="525866"/>
          <w:sz w:val="22"/>
        </w:rPr>
        <w:t>VLO reported Q2 2026 Refining segment operating income of $4.5B vs. $1.3B in Q2 2025 — a massive YoY improvement confirming the macro tailwind. Adjusted operating income was $4.4B. Refining cash opex was $4.70/bbl, guiding $4.75/bbl in Q3.</w:t>
      </w:r>
    </w:p>
    <w:p>
      <w:pPr>
        <w:pStyle w:val="ListBullet"/>
        <w:ind w:left="360" w:hanging="360"/>
      </w:pPr>
      <w:r>
        <w:rPr>
          <w:rFonts w:ascii="Calibri" w:hAnsi="Calibri"/>
          <w:b/>
          <w:color w:val="525866"/>
          <w:sz w:val="22"/>
        </w:rPr>
        <w:t xml:space="preserve">Q3 2026 outlook: </w:t>
      </w:r>
      <w:r>
        <w:rPr>
          <w:rFonts w:ascii="Calibri" w:hAnsi="Calibri"/>
          <w:color w:val="525866"/>
          <w:sz w:val="22"/>
        </w:rPr>
        <w:t>VLO management stated Q3 margins and capture rates look “constructive and stronger relative to Q2” — the biggest tailwind being feedstocks, with several crude grades purchased at discounts vs. Q2 premiums. Naphtha at a premium to Brent (vs. flat in Q2), propylene strengthened, sulfur strong.</w:t>
      </w:r>
    </w:p>
    <w:p>
      <w:pPr>
        <w:pStyle w:val="ListBullet"/>
        <w:ind w:left="360" w:hanging="360"/>
      </w:pPr>
      <w:r>
        <w:rPr>
          <w:rFonts w:ascii="Calibri" w:hAnsi="Calibri"/>
          <w:b/>
          <w:color w:val="525866"/>
          <w:sz w:val="22"/>
        </w:rPr>
        <w:t xml:space="preserve">Crude differentials: </w:t>
      </w:r>
      <w:r>
        <w:rPr>
          <w:rFonts w:ascii="Calibri" w:hAnsi="Calibri"/>
          <w:color w:val="525866"/>
          <w:sz w:val="22"/>
        </w:rPr>
        <w:t xml:space="preserve">VLO sees a “much more bullish outlook on crude quality discounts going forward, especially for heavy sour crude.” Expects more Canadian heavy and Venezuelan crude availability. In June, Canadian crude prices rose due to weather/flooding, causing VLO to pivot to Venezuelan crude — processing rates expected to exceed historical maximums. </w:t>
      </w:r>
      <w:r>
        <w:rPr>
          <w:rFonts w:ascii="Calibri" w:hAnsi="Calibri"/>
          <w:b/>
          <w:color w:val="525866"/>
          <w:sz w:val="22"/>
        </w:rPr>
        <w:t xml:space="preserve">PSX read-through: </w:t>
      </w:r>
      <w:r>
        <w:rPr>
          <w:rFonts w:ascii="Calibri" w:hAnsi="Calibri"/>
          <w:color w:val="525866"/>
          <w:sz w:val="22"/>
        </w:rPr>
        <w:t>Directly positive — PSX has ~$140M of additional earnings per $1 of WCS widening; VLO’s commentary on heavy crude availability and widening differentials is a tailwind.</w:t>
      </w:r>
    </w:p>
    <w:p>
      <w:pPr>
        <w:pStyle w:val="ListBullet"/>
        <w:ind w:left="360" w:hanging="360"/>
      </w:pPr>
      <w:r>
        <w:rPr>
          <w:rFonts w:ascii="Calibri" w:hAnsi="Calibri"/>
          <w:b/>
          <w:color w:val="525866"/>
          <w:sz w:val="22"/>
        </w:rPr>
        <w:t xml:space="preserve">Global capacity: </w:t>
      </w:r>
      <w:r>
        <w:rPr>
          <w:rFonts w:ascii="Calibri" w:hAnsi="Calibri"/>
          <w:color w:val="525866"/>
          <w:sz w:val="22"/>
        </w:rPr>
        <w:t>~5 million bpd of refining capacity currently offline. Global light product inventories down ~150M barrels from start of year and ~130M barrels below normal. Even if conflicts ended today, inventories would remain below 5-year average through 2027. Ukrainian drone attacks on Russian refining capacity (1.7–1.9M bpd offline) are “getting progressively worse, not better.”</w:t>
      </w:r>
    </w:p>
    <w:p>
      <w:pPr>
        <w:pStyle w:val="ListBullet"/>
        <w:ind w:left="360" w:hanging="360"/>
      </w:pPr>
      <w:r>
        <w:rPr>
          <w:rFonts w:ascii="Calibri" w:hAnsi="Calibri"/>
          <w:b/>
          <w:color w:val="525866"/>
          <w:sz w:val="22"/>
        </w:rPr>
        <w:t xml:space="preserve">Renewable diesel: </w:t>
      </w:r>
      <w:r>
        <w:rPr>
          <w:rFonts w:ascii="Calibri" w:hAnsi="Calibri"/>
          <w:color w:val="525866"/>
          <w:sz w:val="22"/>
        </w:rPr>
        <w:t xml:space="preserve">VLO RD segment reported operating income of $717M in Q2 2026 vs. a loss of $79M in Q2 2025. D4 RIN values expected to remain higher than fat prices through 2026 and 2027. RIN market is short and bank expected to be depleted by end-2026 to mid-2027. </w:t>
      </w:r>
      <w:r>
        <w:rPr>
          <w:rFonts w:ascii="Calibri" w:hAnsi="Calibri"/>
          <w:b/>
          <w:color w:val="525866"/>
          <w:sz w:val="22"/>
        </w:rPr>
        <w:t xml:space="preserve">PSX read-through: </w:t>
      </w:r>
      <w:r>
        <w:rPr>
          <w:rFonts w:ascii="Calibri" w:hAnsi="Calibri"/>
          <w:color w:val="525866"/>
          <w:sz w:val="22"/>
        </w:rPr>
        <w:t>Positive for Rodeo renewable fuels segment, which is already running above nameplate capacity with RIN values more than double 2025 levels.</w:t>
      </w:r>
    </w:p>
    <w:p>
      <w:pPr>
        <w:pStyle w:val="ListBullet"/>
        <w:ind w:left="360" w:hanging="360"/>
      </w:pPr>
      <w:r>
        <w:rPr>
          <w:rFonts w:ascii="Calibri" w:hAnsi="Calibri"/>
          <w:b/>
          <w:color w:val="525866"/>
          <w:sz w:val="22"/>
        </w:rPr>
        <w:t xml:space="preserve">Mid-cycle view: </w:t>
      </w:r>
      <w:r>
        <w:rPr>
          <w:rFonts w:ascii="Calibri" w:hAnsi="Calibri"/>
          <w:color w:val="525866"/>
          <w:sz w:val="22"/>
        </w:rPr>
        <w:t>VLO holds a “much more bullish view of future mid-cycle” refining margins vs. historical calculations, citing crack spreads now set by hydroskimming margins in NW Europe (higher floor) rather than cracking margins.</w:t>
      </w:r>
    </w:p>
    <w:p>
      <w:pPr>
        <w:pStyle w:val="Heading3"/>
      </w:pPr>
      <w:r>
        <w:rPr>
          <w:rFonts w:ascii="Calibri" w:hAnsi="Calibri"/>
          <w:b/>
          <w:color w:val="3B4259"/>
          <w:sz w:val="24"/>
        </w:rPr>
        <w:t>Marathon Petroleum (MPC) — Q2 2026 Earnings (Reported August 4, 2026)</w:t>
      </w:r>
    </w:p>
    <w:p>
      <w:r>
        <w:rPr>
          <w:rFonts w:ascii="Calibri" w:hAnsi="Calibri"/>
          <w:b/>
          <w:color w:val="525866"/>
          <w:sz w:val="22"/>
        </w:rPr>
        <w:t xml:space="preserve">Read-Through: </w:t>
      </w:r>
      <w:r>
        <w:rPr>
          <w:rFonts w:ascii="Calibri" w:hAnsi="Calibri"/>
          <w:color w:val="525866"/>
          <w:sz w:val="22"/>
        </w:rPr>
        <w:t>Strongly positive for PSX refining and crude differential outlook.</w:t>
      </w:r>
    </w:p>
    <w:p>
      <w:pPr>
        <w:pStyle w:val="ListBullet"/>
        <w:ind w:left="360" w:hanging="360"/>
      </w:pPr>
      <w:r>
        <w:rPr>
          <w:rFonts w:ascii="Calibri" w:hAnsi="Calibri"/>
          <w:b/>
          <w:color w:val="525866"/>
          <w:sz w:val="22"/>
        </w:rPr>
        <w:t xml:space="preserve">Refining results: </w:t>
      </w:r>
      <w:r>
        <w:rPr>
          <w:rFonts w:ascii="Calibri" w:hAnsi="Calibri"/>
          <w:color w:val="525866"/>
          <w:sz w:val="22"/>
        </w:rPr>
        <w:t>MPC delivered $8.5B of adjusted EBITDA in Q2 2026, with R&amp;M adjusted EBITDA/bbl of $24.84. Capture rate was 112% in Q2 (108% through H1 2026) — the strongest on an absolute basis. Gulf Coast ran at 100% utilization delivering $27/bbl EBITDA; West Coast delivered $27/bbl; Mid-con $21/bbl.</w:t>
      </w:r>
    </w:p>
    <w:p>
      <w:pPr>
        <w:pStyle w:val="ListBullet"/>
        <w:ind w:left="360" w:hanging="360"/>
      </w:pPr>
      <w:r>
        <w:rPr>
          <w:rFonts w:ascii="Calibri" w:hAnsi="Calibri"/>
          <w:b/>
          <w:color w:val="525866"/>
          <w:sz w:val="22"/>
        </w:rPr>
        <w:t xml:space="preserve">Crude differentials — WCS: </w:t>
      </w:r>
      <w:r>
        <w:rPr>
          <w:rFonts w:ascii="Calibri" w:hAnsi="Calibri"/>
          <w:color w:val="525866"/>
          <w:sz w:val="22"/>
        </w:rPr>
        <w:t xml:space="preserve">MPC ran record amounts of Canadian heavy crude in the Gulf Coast in Q2, and more than double Venezuelan crudes vs. Q1. WCS currently at WTI minus $14/bbl; forward curve for Q4 2026 shows WCS north of $16/bbl — a ~$2/bbl widening tailwind. MPC stated “8 out of 10 times heavy wins” vs. Venezuelan crude in their system. </w:t>
      </w:r>
      <w:r>
        <w:rPr>
          <w:rFonts w:ascii="Calibri" w:hAnsi="Calibri"/>
          <w:b/>
          <w:color w:val="525866"/>
          <w:sz w:val="22"/>
        </w:rPr>
        <w:t xml:space="preserve">PSX read-through: </w:t>
      </w:r>
      <w:r>
        <w:rPr>
          <w:rFonts w:ascii="Calibri" w:hAnsi="Calibri"/>
          <w:color w:val="525866"/>
          <w:sz w:val="22"/>
        </w:rPr>
        <w:t>Directly positive — WCS widening is PSX’s single largest earnings sensitivity at ~$140M per $1 of widening; MPC’s forward curve commentary supports PSX’s Q3/Q4 outlook.</w:t>
      </w:r>
    </w:p>
    <w:p>
      <w:pPr>
        <w:pStyle w:val="ListBullet"/>
        <w:ind w:left="360" w:hanging="360"/>
      </w:pPr>
      <w:r>
        <w:rPr>
          <w:rFonts w:ascii="Calibri" w:hAnsi="Calibri"/>
          <w:b/>
          <w:color w:val="525866"/>
          <w:sz w:val="22"/>
        </w:rPr>
        <w:t xml:space="preserve">Supply/demand: </w:t>
      </w:r>
      <w:r>
        <w:rPr>
          <w:rFonts w:ascii="Calibri" w:hAnsi="Calibri"/>
          <w:color w:val="525866"/>
          <w:sz w:val="22"/>
        </w:rPr>
        <w:t>Globally, over 9M bpd of planned and unplanned refinery downtime — ~4M bpd above historical norms. U.S. gasoline inventory well below 5-year range; distillate at bottom of 5-year range. U.S. jet fuel demand hit all-time high in June; distillate exports hit records in Q2 2026.</w:t>
      </w:r>
    </w:p>
    <w:p>
      <w:pPr>
        <w:pStyle w:val="ListBullet"/>
        <w:ind w:left="360" w:hanging="360"/>
      </w:pPr>
      <w:r>
        <w:rPr>
          <w:rFonts w:ascii="Calibri" w:hAnsi="Calibri"/>
          <w:b/>
          <w:color w:val="525866"/>
          <w:sz w:val="22"/>
        </w:rPr>
        <w:t xml:space="preserve">Q3 2026 outlook: </w:t>
      </w:r>
      <w:r>
        <w:rPr>
          <w:rFonts w:ascii="Calibri" w:hAnsi="Calibri"/>
          <w:color w:val="525866"/>
          <w:sz w:val="22"/>
        </w:rPr>
        <w:t>MPC noted product margins in Q3 are “good but not at the same level as Q2.” Pullback in jet-to-diesel spread. Q3 crude throughput guided at 2.8M bpd (94% utilization). Turnaround expense ~$290M in Q3 (heavier than Q2). MPC expects to remain in an “enhanced midcycle environment” through end-2026 and into 2027.</w:t>
      </w:r>
    </w:p>
    <w:p>
      <w:pPr>
        <w:pStyle w:val="ListBullet"/>
        <w:ind w:left="360" w:hanging="360"/>
      </w:pPr>
      <w:r>
        <w:rPr>
          <w:rFonts w:ascii="Calibri" w:hAnsi="Calibri"/>
          <w:b/>
          <w:color w:val="525866"/>
          <w:sz w:val="22"/>
        </w:rPr>
        <w:t xml:space="preserve">SPR releases: </w:t>
      </w:r>
      <w:r>
        <w:rPr>
          <w:rFonts w:ascii="Calibri" w:hAnsi="Calibri"/>
          <w:color w:val="525866"/>
          <w:sz w:val="22"/>
        </w:rPr>
        <w:t xml:space="preserve">~110–111M barrels of SPR released YTD; potentially another 38M barrels this year. MPC views this as applying pressure on differentials — a tailwind for feedstock costs. </w:t>
      </w:r>
      <w:r>
        <w:rPr>
          <w:rFonts w:ascii="Calibri" w:hAnsi="Calibri"/>
          <w:b/>
          <w:color w:val="525866"/>
          <w:sz w:val="22"/>
        </w:rPr>
        <w:t xml:space="preserve">PSX read-through: </w:t>
      </w:r>
      <w:r>
        <w:rPr>
          <w:rFonts w:ascii="Calibri" w:hAnsi="Calibri"/>
          <w:color w:val="525866"/>
          <w:sz w:val="22"/>
        </w:rPr>
        <w:t>Positive for crude cost optimization across PSX’s Gulf Coast and Mid-Continent refineries.</w:t>
      </w:r>
    </w:p>
    <w:p>
      <w:pPr>
        <w:pStyle w:val="ListBullet"/>
        <w:ind w:left="360" w:hanging="360"/>
      </w:pPr>
      <w:r>
        <w:rPr>
          <w:rFonts w:ascii="Calibri" w:hAnsi="Calibri"/>
          <w:b/>
          <w:color w:val="525866"/>
          <w:sz w:val="22"/>
        </w:rPr>
        <w:t xml:space="preserve">Midstream: </w:t>
      </w:r>
      <w:r>
        <w:rPr>
          <w:rFonts w:ascii="Calibri" w:hAnsi="Calibri"/>
          <w:color w:val="525866"/>
          <w:sz w:val="22"/>
        </w:rPr>
        <w:t xml:space="preserve">MPLX on track for mid-single-digit adjusted EBITDA growth in 2026, weighted toward H2; increased 2026 capital growth spending by $500M to $2.9B. Blackcomb natural gas pipeline began commissioning in July, expected full commercial service Q4 2026. </w:t>
      </w:r>
      <w:r>
        <w:rPr>
          <w:rFonts w:ascii="Calibri" w:hAnsi="Calibri"/>
          <w:b/>
          <w:color w:val="525866"/>
          <w:sz w:val="22"/>
        </w:rPr>
        <w:t xml:space="preserve">PSX read-through: </w:t>
      </w:r>
      <w:r>
        <w:rPr>
          <w:rFonts w:ascii="Calibri" w:hAnsi="Calibri"/>
          <w:color w:val="525866"/>
          <w:sz w:val="22"/>
        </w:rPr>
        <w:t>Constructive for midstream sector sentiment; PSX’s own organic growth (Zeus Gas Plant, 3rd Coastal Bend Fractionator) is on a similar trajectory.</w:t>
      </w:r>
    </w:p>
    <w:p>
      <w:pPr>
        <w:pStyle w:val="Heading3"/>
      </w:pPr>
      <w:r>
        <w:rPr>
          <w:rFonts w:ascii="Calibri" w:hAnsi="Calibri"/>
          <w:b/>
          <w:color w:val="3B4259"/>
          <w:sz w:val="24"/>
        </w:rPr>
        <w:t>ExxonMobil (XOM) — Q2 2026 Earnings (Reported July 31, 2026)</w:t>
      </w:r>
    </w:p>
    <w:p>
      <w:r>
        <w:rPr>
          <w:rFonts w:ascii="Calibri" w:hAnsi="Calibri"/>
          <w:b/>
          <w:color w:val="525866"/>
          <w:sz w:val="22"/>
        </w:rPr>
        <w:t xml:space="preserve">Read-Through: </w:t>
      </w:r>
      <w:r>
        <w:rPr>
          <w:rFonts w:ascii="Calibri" w:hAnsi="Calibri"/>
          <w:color w:val="525866"/>
          <w:sz w:val="22"/>
        </w:rPr>
        <w:t>Positive for refining and chemicals; confirms structural tightness in global refining capacity.</w:t>
      </w:r>
    </w:p>
    <w:p>
      <w:pPr>
        <w:pStyle w:val="ListBullet"/>
        <w:ind w:left="360" w:hanging="360"/>
      </w:pPr>
      <w:r>
        <w:rPr>
          <w:rFonts w:ascii="Calibri" w:hAnsi="Calibri"/>
          <w:b/>
          <w:color w:val="525866"/>
          <w:sz w:val="22"/>
        </w:rPr>
        <w:t xml:space="preserve">Refining market: </w:t>
      </w:r>
      <w:r>
        <w:rPr>
          <w:rFonts w:ascii="Calibri" w:hAnsi="Calibri"/>
          <w:color w:val="525866"/>
          <w:sz w:val="22"/>
        </w:rPr>
        <w:t>XOM described the refining market as “very robust” with “very high margins” for the foreseeable future. ~3M bpd of capacity unavailable; China halted exports (another ~2M bpd of capacity); Ukraine conflict took ~1M bpd of Russian refining capacity offline. Available capacity relative to demand is “as low as it is today” excluding COVID. U.S. Gulf Coast refinery reliability exceeded 95% in Q2.</w:t>
      </w:r>
    </w:p>
    <w:p>
      <w:pPr>
        <w:pStyle w:val="ListBullet"/>
        <w:ind w:left="360" w:hanging="360"/>
      </w:pPr>
      <w:r>
        <w:rPr>
          <w:rFonts w:ascii="Calibri" w:hAnsi="Calibri"/>
          <w:b/>
          <w:color w:val="525866"/>
          <w:sz w:val="22"/>
        </w:rPr>
        <w:t xml:space="preserve">Chemicals: </w:t>
      </w:r>
      <w:r>
        <w:rPr>
          <w:rFonts w:ascii="Calibri" w:hAnsi="Calibri"/>
          <w:color w:val="525866"/>
          <w:sz w:val="22"/>
        </w:rPr>
        <w:t xml:space="preserve">XOM’s chemical product margins increased ~180% vs. Q1 2026, driven by North American facilities benefiting from advantaged ethane feedstock and record H1 reliability addressing supply shortfalls from Middle East disruptions. </w:t>
      </w:r>
      <w:r>
        <w:rPr>
          <w:rFonts w:ascii="Calibri" w:hAnsi="Calibri"/>
          <w:b/>
          <w:color w:val="525866"/>
          <w:sz w:val="22"/>
        </w:rPr>
        <w:t xml:space="preserve">PSX read-through: </w:t>
      </w:r>
      <w:r>
        <w:rPr>
          <w:rFonts w:ascii="Calibri" w:hAnsi="Calibri"/>
          <w:color w:val="525866"/>
          <w:sz w:val="22"/>
        </w:rPr>
        <w:t>Directly positive for CPChem — PSX’s 50% JV with Chevron uses the same ethane-advantaged feedstock on the U.S. Gulf Coast; XOM’s 180% margin improvement signals a step-change in chemicals profitability.</w:t>
      </w:r>
    </w:p>
    <w:p>
      <w:pPr>
        <w:pStyle w:val="ListBullet"/>
        <w:ind w:left="360" w:hanging="360"/>
      </w:pPr>
      <w:r>
        <w:rPr>
          <w:rFonts w:ascii="Calibri" w:hAnsi="Calibri"/>
          <w:b/>
          <w:color w:val="525866"/>
          <w:sz w:val="22"/>
        </w:rPr>
        <w:t xml:space="preserve">Cost savings: </w:t>
      </w:r>
      <w:r>
        <w:rPr>
          <w:rFonts w:ascii="Calibri" w:hAnsi="Calibri"/>
          <w:color w:val="525866"/>
          <w:sz w:val="22"/>
        </w:rPr>
        <w:t xml:space="preserve">XOM cumulative structural cost savings reached $16.3B since 2019; targeting $20B by 2030. Turnaround costs improved 30% and duration improved 60% vs. prior cycles. </w:t>
      </w:r>
      <w:r>
        <w:rPr>
          <w:rFonts w:ascii="Calibri" w:hAnsi="Calibri"/>
          <w:b/>
          <w:color w:val="525866"/>
          <w:sz w:val="22"/>
        </w:rPr>
        <w:t xml:space="preserve">PSX read-through: </w:t>
      </w:r>
      <w:r>
        <w:rPr>
          <w:rFonts w:ascii="Calibri" w:hAnsi="Calibri"/>
          <w:color w:val="525866"/>
          <w:sz w:val="22"/>
        </w:rPr>
        <w:t>Validates PSX’s own cost reduction program; industry-wide efficiency gains support the structural cost improvement narrative.</w:t>
      </w:r>
    </w:p>
    <w:p>
      <w:pPr>
        <w:pStyle w:val="ListBullet"/>
        <w:ind w:left="360" w:hanging="360"/>
      </w:pPr>
      <w:r>
        <w:rPr>
          <w:rFonts w:ascii="Calibri" w:hAnsi="Calibri"/>
          <w:b/>
          <w:color w:val="525866"/>
          <w:sz w:val="22"/>
        </w:rPr>
        <w:t xml:space="preserve">Outlook: </w:t>
      </w:r>
      <w:r>
        <w:rPr>
          <w:rFonts w:ascii="Calibri" w:hAnsi="Calibri"/>
          <w:color w:val="525866"/>
          <w:sz w:val="22"/>
        </w:rPr>
        <w:t>XOM expects “continued inhibition for movement” in the Strait of Hormuz even after resolution, as confidence rebuilds slowly. Middle East resources described as “too critical to the overall economic health of the world” to remain disrupted indefinitely, but recovery will take time.</w:t>
      </w:r>
    </w:p>
    <w:p>
      <w:pPr>
        <w:pStyle w:val="Heading3"/>
      </w:pPr>
      <w:r>
        <w:rPr>
          <w:rFonts w:ascii="Calibri" w:hAnsi="Calibri"/>
          <w:b/>
          <w:color w:val="3B4259"/>
          <w:sz w:val="24"/>
        </w:rPr>
        <w:t>Chevron (CVX) — Q2 2026 Earnings (Reported July 31, 2026)</w:t>
      </w:r>
    </w:p>
    <w:p>
      <w:r>
        <w:rPr>
          <w:rFonts w:ascii="Calibri" w:hAnsi="Calibri"/>
          <w:b/>
          <w:color w:val="525866"/>
          <w:sz w:val="22"/>
        </w:rPr>
        <w:t xml:space="preserve">Read-Through: </w:t>
      </w:r>
      <w:r>
        <w:rPr>
          <w:rFonts w:ascii="Calibri" w:hAnsi="Calibri"/>
          <w:color w:val="525866"/>
          <w:sz w:val="22"/>
        </w:rPr>
        <w:t>Positive for PSX chemicals (CPChem) and refining margins.</w:t>
      </w:r>
    </w:p>
    <w:p>
      <w:pPr>
        <w:pStyle w:val="ListBullet"/>
        <w:ind w:left="360" w:hanging="360"/>
      </w:pPr>
      <w:r>
        <w:rPr>
          <w:rFonts w:ascii="Calibri" w:hAnsi="Calibri"/>
          <w:b/>
          <w:color w:val="525866"/>
          <w:sz w:val="22"/>
        </w:rPr>
        <w:t xml:space="preserve">Downstream/refining: </w:t>
      </w:r>
      <w:r>
        <w:rPr>
          <w:rFonts w:ascii="Calibri" w:hAnsi="Calibri"/>
          <w:color w:val="525866"/>
          <w:sz w:val="22"/>
        </w:rPr>
        <w:t>CVX reported adjusted downstream earnings increased in Q2, primarily due to higher refining margins and favorable timing effects. Achieved record U.S. refinery throughput of over 1 million bpd.</w:t>
      </w:r>
    </w:p>
    <w:p>
      <w:pPr>
        <w:pStyle w:val="ListBullet"/>
        <w:ind w:left="360" w:hanging="360"/>
      </w:pPr>
      <w:r>
        <w:rPr>
          <w:rFonts w:ascii="Calibri" w:hAnsi="Calibri"/>
          <w:b/>
          <w:color w:val="525866"/>
          <w:sz w:val="22"/>
        </w:rPr>
        <w:t xml:space="preserve">Product market outlook: </w:t>
      </w:r>
      <w:r>
        <w:rPr>
          <w:rFonts w:ascii="Calibri" w:hAnsi="Calibri"/>
          <w:color w:val="525866"/>
          <w:sz w:val="22"/>
        </w:rPr>
        <w:t>CVX management identified middle distillates as “the tight spot right now” — initially jet fuel, now diesel. European diesel demand was weaker in Q2 (preventing further inventory draws) but may not hold in Q3. Restocking of heating oil ahead of winter, Russian export ban, and refinery outages are all contributing. “Products are tighter than crude around the world — that’s why cracks have widened out.” Expects “some upward pressure on product pricing into Q3 and perhaps beyond.”</w:t>
      </w:r>
    </w:p>
    <w:p>
      <w:pPr>
        <w:pStyle w:val="ListBullet"/>
        <w:ind w:left="360" w:hanging="360"/>
      </w:pPr>
      <w:r>
        <w:rPr>
          <w:rFonts w:ascii="Calibri" w:hAnsi="Calibri"/>
          <w:b/>
          <w:color w:val="525866"/>
          <w:sz w:val="22"/>
        </w:rPr>
        <w:t xml:space="preserve">Chemicals (CPChem): </w:t>
      </w:r>
      <w:r>
        <w:rPr>
          <w:rFonts w:ascii="Calibri" w:hAnsi="Calibri"/>
          <w:color w:val="525866"/>
          <w:sz w:val="22"/>
        </w:rPr>
        <w:t xml:space="preserve">CVX described CPChem margins as “buoyant, to say the least, over the last few months.” Attributed to constrained naphtha supply from the Middle East (normally flows to North Asia for naphtha crackers, the price-setting mechanism). Ethane crackers (CPChem’s primary feedstock) are lower cost and advantaged in this environment. </w:t>
      </w:r>
      <w:r>
        <w:rPr>
          <w:rFonts w:ascii="Calibri" w:hAnsi="Calibri"/>
          <w:b/>
          <w:color w:val="525866"/>
          <w:sz w:val="22"/>
        </w:rPr>
        <w:t xml:space="preserve">PSX read-through: </w:t>
      </w:r>
      <w:r>
        <w:rPr>
          <w:rFonts w:ascii="Calibri" w:hAnsi="Calibri"/>
          <w:color w:val="525866"/>
          <w:sz w:val="22"/>
        </w:rPr>
        <w:t>Directly positive — PSX owns 50% of CPChem; CVX’s commentary confirms the chemicals EBITDA recovery embedded in Q2 consensus ($389M vs. $20M in Q2 2025) is well-supported.</w:t>
      </w:r>
    </w:p>
    <w:p>
      <w:pPr>
        <w:pStyle w:val="ListBullet"/>
        <w:ind w:left="360" w:hanging="360"/>
      </w:pPr>
      <w:r>
        <w:rPr>
          <w:rFonts w:ascii="Calibri" w:hAnsi="Calibri"/>
          <w:b/>
          <w:color w:val="525866"/>
          <w:sz w:val="22"/>
        </w:rPr>
        <w:t xml:space="preserve">Demand destruction: </w:t>
      </w:r>
      <w:r>
        <w:rPr>
          <w:rFonts w:ascii="Calibri" w:hAnsi="Calibri"/>
          <w:color w:val="525866"/>
          <w:sz w:val="22"/>
        </w:rPr>
        <w:t>CVX management stated demand destruction is “not obvious to me at any significant scale” and “hard to find evidence of longer-term structural demand destruction at this point.” China described as a “black box” but difficult to shift demand as rapidly as crude purchases have come off.</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PSX Implication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Refining Margins (Q2)</w:t>
            </w:r>
          </w:p>
        </w:tc>
        <w:tc>
          <w:tcPr>
            <w:tcW w:type="dxa" w:w="2160"/>
          </w:tcPr>
          <w:p>
            <w:r>
              <w:rPr>
                <w:rFonts w:ascii="Calibri" w:hAnsi="Calibri"/>
                <w:sz w:val="22"/>
              </w:rPr>
              <w:t>VLO: $4.4B adj. op. income; MPC: $24.84/bbl EBITDA, 112% capture; XOM: “very robust”; CVX: higher margins + record throughput</w:t>
            </w:r>
          </w:p>
        </w:tc>
        <w:tc>
          <w:tcPr>
            <w:tcW w:type="dxa" w:w="2160"/>
          </w:tcPr>
          <w:p>
            <w:r>
              <w:rPr>
                <w:rFonts w:ascii="Calibri" w:hAnsi="Calibri"/>
                <w:sz w:val="22"/>
              </w:rPr>
              <w:t>Confirms Q2 2026 was an exceptional refining quarter; PSX consensus of $2.9B Refining EBITDA is achievable</w:t>
            </w:r>
          </w:p>
        </w:tc>
        <w:tc>
          <w:tcPr>
            <w:tcW w:type="dxa" w:w="2160"/>
          </w:tcPr>
          <w:p>
            <w:r>
              <w:rPr>
                <w:rFonts w:ascii="Calibri" w:hAnsi="Calibri"/>
                <w:b/>
                <w:color w:val="30A46C"/>
                <w:sz w:val="22"/>
              </w:rPr>
              <w:t>Positive</w:t>
            </w:r>
          </w:p>
        </w:tc>
      </w:tr>
      <w:tr>
        <w:tc>
          <w:tcPr>
            <w:tcW w:type="dxa" w:w="2160"/>
          </w:tcPr>
          <w:p>
            <w:r>
              <w:rPr>
                <w:rFonts w:ascii="Calibri" w:hAnsi="Calibri"/>
                <w:sz w:val="22"/>
              </w:rPr>
              <w:t>WCS / Heavy Crude Differentials</w:t>
            </w:r>
          </w:p>
        </w:tc>
        <w:tc>
          <w:tcPr>
            <w:tcW w:type="dxa" w:w="2160"/>
          </w:tcPr>
          <w:p>
            <w:r>
              <w:rPr>
                <w:rFonts w:ascii="Calibri" w:hAnsi="Calibri"/>
                <w:sz w:val="22"/>
              </w:rPr>
              <w:t>MPC: WCS at WTI -$14/bbl; forward curve shows -$16/bbl in Q4; ran record Canadian heavy in Gulf Coast. VLO: bullish on heavy sour discounts going forward</w:t>
            </w:r>
          </w:p>
        </w:tc>
        <w:tc>
          <w:tcPr>
            <w:tcW w:type="dxa" w:w="2160"/>
          </w:tcPr>
          <w:p>
            <w:r>
              <w:rPr>
                <w:rFonts w:ascii="Calibri" w:hAnsi="Calibri"/>
                <w:sz w:val="22"/>
              </w:rPr>
              <w:t>WCS widening is PSX’s largest earnings sensitivity (~$140M per $1); forward curve tailwind supports Q3/Q4 outlook</w:t>
            </w:r>
          </w:p>
        </w:tc>
        <w:tc>
          <w:tcPr>
            <w:tcW w:type="dxa" w:w="2160"/>
          </w:tcPr>
          <w:p>
            <w:r>
              <w:rPr>
                <w:rFonts w:ascii="Calibri" w:hAnsi="Calibri"/>
                <w:b/>
                <w:color w:val="30A46C"/>
                <w:sz w:val="22"/>
              </w:rPr>
              <w:t>Positive</w:t>
            </w:r>
          </w:p>
        </w:tc>
      </w:tr>
      <w:tr>
        <w:tc>
          <w:tcPr>
            <w:tcW w:type="dxa" w:w="2160"/>
          </w:tcPr>
          <w:p>
            <w:r>
              <w:rPr>
                <w:rFonts w:ascii="Calibri" w:hAnsi="Calibri"/>
                <w:sz w:val="22"/>
              </w:rPr>
              <w:t>Chemicals Margins (CPChem)</w:t>
            </w:r>
          </w:p>
        </w:tc>
        <w:tc>
          <w:tcPr>
            <w:tcW w:type="dxa" w:w="2160"/>
          </w:tcPr>
          <w:p>
            <w:r>
              <w:rPr>
                <w:rFonts w:ascii="Calibri" w:hAnsi="Calibri"/>
                <w:sz w:val="22"/>
              </w:rPr>
              <w:t>CVX: CPChem margins “buoyant”; XOM: chemical margins +180% vs. Q1; both cite ethane advantage vs. constrained naphtha</w:t>
            </w:r>
          </w:p>
        </w:tc>
        <w:tc>
          <w:tcPr>
            <w:tcW w:type="dxa" w:w="2160"/>
          </w:tcPr>
          <w:p>
            <w:r>
              <w:rPr>
                <w:rFonts w:ascii="Calibri" w:hAnsi="Calibri"/>
                <w:sz w:val="22"/>
              </w:rPr>
              <w:t>PSX’s 50% CPChem stake should deliver strong Q2 chemicals EBITDA; consensus of $389M vs. $20M in Q2 2025 is well-supported</w:t>
            </w:r>
          </w:p>
        </w:tc>
        <w:tc>
          <w:tcPr>
            <w:tcW w:type="dxa" w:w="2160"/>
          </w:tcPr>
          <w:p>
            <w:r>
              <w:rPr>
                <w:rFonts w:ascii="Calibri" w:hAnsi="Calibri"/>
                <w:b/>
                <w:color w:val="30A46C"/>
                <w:sz w:val="22"/>
              </w:rPr>
              <w:t>Positive</w:t>
            </w:r>
          </w:p>
        </w:tc>
      </w:tr>
      <w:tr>
        <w:tc>
          <w:tcPr>
            <w:tcW w:type="dxa" w:w="2160"/>
          </w:tcPr>
          <w:p>
            <w:r>
              <w:rPr>
                <w:rFonts w:ascii="Calibri" w:hAnsi="Calibri"/>
                <w:sz w:val="22"/>
              </w:rPr>
              <w:t>Renewable Fuels / RINs</w:t>
            </w:r>
          </w:p>
        </w:tc>
        <w:tc>
          <w:tcPr>
            <w:tcW w:type="dxa" w:w="2160"/>
          </w:tcPr>
          <w:p>
            <w:r>
              <w:rPr>
                <w:rFonts w:ascii="Calibri" w:hAnsi="Calibri"/>
                <w:sz w:val="22"/>
              </w:rPr>
              <w:t>VLO: RD operating income $717M vs. -$79M YoY; D4 RINs expected above fat prices through 2026–27; RIN bank depleting by end-2026</w:t>
            </w:r>
          </w:p>
        </w:tc>
        <w:tc>
          <w:tcPr>
            <w:tcW w:type="dxa" w:w="2160"/>
          </w:tcPr>
          <w:p>
            <w:r>
              <w:rPr>
                <w:rFonts w:ascii="Calibri" w:hAnsi="Calibri"/>
                <w:sz w:val="22"/>
              </w:rPr>
              <w:t>Positive for PSX’s Rodeo facility (running above nameplate; RINs &gt;2x 2025 levels); renewable fuels segment positioned for material YoY FCF improvement</w:t>
            </w:r>
          </w:p>
        </w:tc>
        <w:tc>
          <w:tcPr>
            <w:tcW w:type="dxa" w:w="2160"/>
          </w:tcPr>
          <w:p>
            <w:r>
              <w:rPr>
                <w:rFonts w:ascii="Calibri" w:hAnsi="Calibri"/>
                <w:b/>
                <w:color w:val="30A46C"/>
                <w:sz w:val="22"/>
              </w:rPr>
              <w:t>Positive</w:t>
            </w:r>
          </w:p>
        </w:tc>
      </w:tr>
      <w:tr>
        <w:tc>
          <w:tcPr>
            <w:tcW w:type="dxa" w:w="2160"/>
          </w:tcPr>
          <w:p>
            <w:r>
              <w:rPr>
                <w:rFonts w:ascii="Calibri" w:hAnsi="Calibri"/>
                <w:sz w:val="22"/>
              </w:rPr>
              <w:t>Q3 2026 Outlook</w:t>
            </w:r>
          </w:p>
        </w:tc>
        <w:tc>
          <w:tcPr>
            <w:tcW w:type="dxa" w:w="2160"/>
          </w:tcPr>
          <w:p>
            <w:r>
              <w:rPr>
                <w:rFonts w:ascii="Calibri" w:hAnsi="Calibri"/>
                <w:sz w:val="22"/>
              </w:rPr>
              <w:t>MPC: margins “good but not at Q2 levels”; VLO: Q3 margins “stronger than Q2” on feedstock tailwinds; both expect constructive environment through year-end</w:t>
            </w:r>
          </w:p>
        </w:tc>
        <w:tc>
          <w:tcPr>
            <w:tcW w:type="dxa" w:w="2160"/>
          </w:tcPr>
          <w:p>
            <w:r>
              <w:rPr>
                <w:rFonts w:ascii="Calibri" w:hAnsi="Calibri"/>
                <w:sz w:val="22"/>
              </w:rPr>
              <w:t>Mixed signals on Q3 vs. Q2 magnitude, but overall constructive; PSX’s Q3 setup benefits from WCS widening and lighter turnaround schedule</w:t>
            </w:r>
          </w:p>
        </w:tc>
        <w:tc>
          <w:tcPr>
            <w:tcW w:type="dxa" w:w="2160"/>
          </w:tcPr>
          <w:p>
            <w:r>
              <w:rPr>
                <w:rFonts w:ascii="Calibri" w:hAnsi="Calibri"/>
                <w:sz w:val="22"/>
              </w:rPr>
              <w:t>Constructive</w:t>
            </w:r>
          </w:p>
        </w:tc>
      </w:tr>
      <w:tr>
        <w:tc>
          <w:tcPr>
            <w:tcW w:type="dxa" w:w="2160"/>
          </w:tcPr>
          <w:p>
            <w:r>
              <w:rPr>
                <w:rFonts w:ascii="Calibri" w:hAnsi="Calibri"/>
                <w:sz w:val="22"/>
              </w:rPr>
              <w:t>Global Capacity / Supply Tightness</w:t>
            </w:r>
          </w:p>
        </w:tc>
        <w:tc>
          <w:tcPr>
            <w:tcW w:type="dxa" w:w="2160"/>
          </w:tcPr>
          <w:p>
            <w:r>
              <w:rPr>
                <w:rFonts w:ascii="Calibri" w:hAnsi="Calibri"/>
                <w:sz w:val="22"/>
              </w:rPr>
              <w:t>VLO: ~5M bpd offline; MPC: 9M bpd downtime (4M above norms); XOM: available capacity at COVID-era lows; Russian capacity progressively worsening</w:t>
            </w:r>
          </w:p>
        </w:tc>
        <w:tc>
          <w:tcPr>
            <w:tcW w:type="dxa" w:w="2160"/>
          </w:tcPr>
          <w:p>
            <w:r>
              <w:rPr>
                <w:rFonts w:ascii="Calibri" w:hAnsi="Calibri"/>
                <w:sz w:val="22"/>
              </w:rPr>
              <w:t>Structural tightness supports elevated refining margins through 2026–2027; PSX’s pipeline-connected crude sourcing provides insulation from Brent-priced crude volatility</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FID on Zeus Gas Plant and the third Coastal Bend Fractionator (May 2026), extending PSX’s midstream organic growth runway to 2028 and beyond the $4.5B EBITDA target — a structural positive that the market is beginning to price in; the Western Gateway Pipeline FID (targeted mid-to-late summer 2026) is the next major catalyst.</w:t>
      </w:r>
    </w:p>
    <w:p>
      <w:pPr>
        <w:pStyle w:val="ListBullet"/>
        <w:ind w:left="360" w:hanging="360"/>
      </w:pPr>
      <w:r>
        <w:rPr>
          <w:rFonts w:ascii="Calibri" w:hAnsi="Calibri"/>
          <w:b/>
          <w:color w:val="525866"/>
          <w:sz w:val="22"/>
        </w:rPr>
        <w:t>May 2026 — Zeus Gas Plant (Permian) &amp; 3rd Coastal Bend Fractionator (Corpus Christi) receive FID.</w:t>
      </w:r>
      <w:r>
        <w:rPr>
          <w:rFonts w:ascii="Calibri" w:hAnsi="Calibri"/>
          <w:color w:val="525866"/>
          <w:sz w:val="22"/>
        </w:rPr>
        <w:t xml:space="preserve"> Both expected online in 2028. Extends midstream organic growth runway beyond the $4.5B EBITDA target. Implication: Confirms management’s “flywheel” narrative of low-capital, high-return midstream projects; adds visibility to earnings beyond 2027.</w:t>
      </w:r>
    </w:p>
    <w:p>
      <w:pPr>
        <w:pStyle w:val="ListBullet"/>
        <w:ind w:left="360" w:hanging="360"/>
      </w:pPr>
      <w:r>
        <w:rPr>
          <w:rFonts w:ascii="Calibri" w:hAnsi="Calibri"/>
          <w:b/>
          <w:color w:val="525866"/>
          <w:sz w:val="22"/>
        </w:rPr>
        <w:t>April 28, 2026 — Lindsey Oil Refinery (UK) acquisition completed.</w:t>
      </w:r>
      <w:r>
        <w:rPr>
          <w:rFonts w:ascii="Calibri" w:hAnsi="Calibri"/>
          <w:color w:val="525866"/>
          <w:sz w:val="22"/>
        </w:rPr>
        <w:t xml:space="preserve"> Assets to be integrated into Humber Refinery operations. Implication: Modest near-term contribution; adds European refining optionality and scale in the Atlantic Basin.</w:t>
      </w:r>
    </w:p>
    <w:p>
      <w:pPr>
        <w:pStyle w:val="ListBullet"/>
        <w:ind w:left="360" w:hanging="360"/>
      </w:pPr>
      <w:r>
        <w:rPr>
          <w:rFonts w:ascii="Calibri" w:hAnsi="Calibri"/>
          <w:b/>
          <w:color w:val="525866"/>
          <w:sz w:val="22"/>
        </w:rPr>
        <w:t>Western Gateway Pipeline — FID targeted mid-to-late summer 2026.</w:t>
      </w:r>
      <w:r>
        <w:rPr>
          <w:rFonts w:ascii="Calibri" w:hAnsi="Calibri"/>
          <w:color w:val="525866"/>
          <w:sz w:val="22"/>
        </w:rPr>
        <w:t xml:space="preserve"> Second open season concluded with strong shipper interest; JV arrangements with Kinder Morgan being finalized; 2029 in-service date. Management described as potentially the “Colonial Pipeline of the West.” Implication: If FID is announced on or around the Q2 earnings call, it would be a significant positive catalyst for the midstream growth narrative.</w:t>
      </w:r>
    </w:p>
    <w:p>
      <w:pPr>
        <w:pStyle w:val="ListBullet"/>
        <w:ind w:left="360" w:hanging="360"/>
      </w:pPr>
      <w:r>
        <w:rPr>
          <w:rFonts w:ascii="Calibri" w:hAnsi="Calibri"/>
          <w:b/>
          <w:color w:val="525866"/>
          <w:sz w:val="22"/>
        </w:rPr>
        <w:t>June 23, 2026 — CEO Mark Lashier participated in J.P. Morgan Energy Conference fireside chat.</w:t>
      </w:r>
      <w:r>
        <w:rPr>
          <w:rFonts w:ascii="Calibri" w:hAnsi="Calibri"/>
          <w:color w:val="525866"/>
          <w:sz w:val="22"/>
        </w:rPr>
        <w:t xml:space="preserve"> CFO Kevin Mitchell and VP of IR Sean Maher also attended. Implication: No specific guidance updates disclosed in available content; management engagement with investors signals confidence in the transformation narrative.</w:t>
      </w:r>
    </w:p>
    <w:p>
      <w:pPr>
        <w:pStyle w:val="ListBullet"/>
        <w:ind w:left="360" w:hanging="360"/>
      </w:pPr>
      <w:r>
        <w:rPr>
          <w:rFonts w:ascii="Calibri" w:hAnsi="Calibri"/>
          <w:b/>
          <w:color w:val="525866"/>
          <w:sz w:val="22"/>
        </w:rPr>
        <w:t>March 2026 — Board governance refresh.</w:t>
      </w:r>
      <w:r>
        <w:rPr>
          <w:rFonts w:ascii="Calibri" w:hAnsi="Calibri"/>
          <w:color w:val="525866"/>
          <w:sz w:val="22"/>
        </w:rPr>
        <w:t xml:space="preserve"> Howard Ungerleider (former Dow President/CFO) and Kevin Meyers (former ConocoPhillips SVP) added to board following engagement with Elliott Investment Management. Implication: Board now fully aligned on integrated strategy, cost reduction milestones, and shareholder return commitments; reduces activist overhang risk.</w:t>
      </w:r>
    </w:p>
    <w:p>
      <w:pPr>
        <w:pStyle w:val="ListBullet"/>
        <w:ind w:left="360" w:hanging="360"/>
      </w:pPr>
      <w:r>
        <w:rPr>
          <w:rFonts w:ascii="Calibri" w:hAnsi="Calibri"/>
          <w:b/>
          <w:color w:val="525866"/>
          <w:sz w:val="22"/>
        </w:rPr>
        <w:t>Ongoing — Refining macro environment.</w:t>
      </w:r>
      <w:r>
        <w:rPr>
          <w:rFonts w:ascii="Calibri" w:hAnsi="Calibri"/>
          <w:color w:val="525866"/>
          <w:sz w:val="22"/>
        </w:rPr>
        <w:t xml:space="preserve"> Strait of Hormuz reopening has moderated crude prices but refined product margins have held in better than crude. Management views normalization of Middle Eastern supply flows as a slow, drawn-out process. PSX sources only a small fraction of crude from the Middle East (majority pipeline-connected from Canada and the U.S.). Implication: PSX is structurally insulated from Brent-priced crude volatility while benefiting from tight product margins.</w:t>
      </w:r>
    </w:p>
    <w:p>
      <w:pPr>
        <w:pStyle w:val="ListBullet"/>
        <w:ind w:left="360" w:hanging="360"/>
      </w:pPr>
      <w:r>
        <w:rPr>
          <w:rFonts w:ascii="Calibri" w:hAnsi="Calibri"/>
          <w:b/>
          <w:color w:val="525866"/>
          <w:sz w:val="22"/>
        </w:rPr>
        <w:t>Ongoing — WCS spreads temporarily tightened due to Canadian wildfires/floods.</w:t>
      </w:r>
      <w:r>
        <w:rPr>
          <w:rFonts w:ascii="Calibri" w:hAnsi="Calibri"/>
          <w:color w:val="525866"/>
          <w:sz w:val="22"/>
        </w:rPr>
        <w:t xml:space="preserve"> Management expects differentials to widen back out as disruptions resolve; Middle Eastern crude re-entering trade flows will put further pressure on heavy grades. Implication: Near-term headwind to Q2 WCS capture, but forward curve (MPC confirmed WCS at -$16/bbl in Q4 vs. -$14/bbl today) supports H2 2026 outlook.</w:t>
      </w:r>
    </w:p>
    <w:p>
      <w:pPr>
        <w:pStyle w:val="ListBullet"/>
        <w:ind w:left="360" w:hanging="360"/>
      </w:pPr>
      <w:r>
        <w:rPr>
          <w:rFonts w:ascii="Calibri" w:hAnsi="Calibri"/>
          <w:b/>
          <w:color w:val="525866"/>
          <w:sz w:val="22"/>
        </w:rPr>
        <w:t>Ongoing — Rodeo renewable fuels facility running above nameplate capacity.</w:t>
      </w:r>
      <w:r>
        <w:rPr>
          <w:rFonts w:ascii="Calibri" w:hAnsi="Calibri"/>
          <w:color w:val="525866"/>
          <w:sz w:val="22"/>
        </w:rPr>
        <w:t xml:space="preserve"> RIN values more than double 2025 levels; management disclosed mid-cycle EBITDA target for Rodeo and indicated facility is at or above that level. Implication: Renewable fuels segment positioned for material YoY FCF improvement; VLO’s Q2 RD results ($717M operating income) confirm the favorable RIN environment.</w:t>
      </w:r>
    </w:p>
    <w:p>
      <w:pPr>
        <w:pStyle w:val="ListBullet"/>
        <w:ind w:left="360" w:hanging="360"/>
      </w:pPr>
      <w:r>
        <w:rPr>
          <w:rFonts w:ascii="Calibri" w:hAnsi="Calibri"/>
          <w:b/>
          <w:color w:val="525866"/>
          <w:sz w:val="22"/>
        </w:rPr>
        <w:t>Ongoing — Mark-to-market hedge accounting.</w:t>
      </w:r>
      <w:r>
        <w:rPr>
          <w:rFonts w:ascii="Calibri" w:hAnsi="Calibri"/>
          <w:color w:val="525866"/>
          <w:sz w:val="22"/>
        </w:rPr>
        <w:t xml:space="preserve"> Q1 2026 saw large non-cash mark-to-market losses on short derivative hedges; management guided that a significant portion is expected to reverse by year-end based on the forward curve. Implication: Q2 results should benefit from partial reversal of Q1 MTM losses, providing a tailwind to reported earnings vs. adjusted earnings.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