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Phillips 66 (PSX)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Phillips 66</w:t>
            </w:r>
          </w:p>
        </w:tc>
      </w:tr>
      <w:tr>
        <w:tc>
          <w:tcPr>
            <w:tcW w:type="dxa" w:w="4320"/>
          </w:tcPr>
          <w:p>
            <w:r>
              <w:rPr>
                <w:rFonts w:ascii="Calibri" w:hAnsi="Calibri"/>
                <w:b/>
                <w:sz w:val="22"/>
              </w:rPr>
              <w:t>Ticker</w:t>
            </w:r>
          </w:p>
        </w:tc>
        <w:tc>
          <w:tcPr>
            <w:tcW w:type="dxa" w:w="4320"/>
          </w:tcPr>
          <w:p>
            <w:r>
              <w:rPr>
                <w:rFonts w:ascii="Calibri" w:hAnsi="Calibri"/>
                <w:sz w:val="22"/>
              </w:rPr>
              <w:t>PSX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 12:00 PM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PSX’s Q2 print is strongly bullish — consensus EPS of </w:t>
      </w:r>
      <w:r>
        <w:rPr>
          <w:rFonts w:ascii="Calibri" w:hAnsi="Calibri"/>
          <w:b/>
          <w:color w:val="525866"/>
          <w:sz w:val="22"/>
        </w:rPr>
        <w:t>$7.68</w:t>
      </w:r>
      <w:r>
        <w:rPr>
          <w:rFonts w:ascii="Calibri" w:hAnsi="Calibri"/>
          <w:color w:val="525866"/>
          <w:sz w:val="22"/>
        </w:rPr>
        <w:t xml:space="preserve"> is already well above the post-Q1 baseline of $6.04 and has been revised sharply higher through the quarter, yet peer prints from VLO and MPC suggest the refining margin environment was even stronger than the street modeled, pointing to a likely beat; the single biggest swing factor is the </w:t>
      </w:r>
      <w:r>
        <w:rPr>
          <w:rFonts w:ascii="Calibri" w:hAnsi="Calibri"/>
          <w:b/>
          <w:color w:val="525866"/>
          <w:sz w:val="22"/>
        </w:rPr>
        <w:t>mark-to-market reversal on PSX’s short derivative hedges</w:t>
      </w:r>
      <w:r>
        <w:rPr>
          <w:rFonts w:ascii="Calibri" w:hAnsi="Calibri"/>
          <w:color w:val="525866"/>
          <w:sz w:val="22"/>
        </w:rPr>
        <w:t>, which management guided would recover ~$500M by year-end.</w:t>
      </w:r>
    </w:p>
    <w:p>
      <w:r>
        <w:rPr>
          <w:rFonts w:ascii="Calibri" w:hAnsi="Calibri"/>
          <w:color w:val="525866"/>
          <w:sz w:val="22"/>
        </w:rPr>
        <w:t>The bar heading into Q2 is high in absolute terms but may still be beatable given the extraordinary refining margin environment. Brent crude averaged ~$90/bbl in Q2 driven by the U.S.-Israeli conflict with Iran and the effective closure of the Strait of Hormuz, which simultaneously boosted crack spreads and tightened global product supply — VLO reported its highest-ever Q2 profit at $12.54/share vs. $10.12 consensus, and MPC posted $17.73/share vs. $13.73 consensus, both massive beats. Management’s tone on the Q1 call was unambiguously bullish: Brian Mandell stated “</w:t>
      </w:r>
      <w:r>
        <w:rPr>
          <w:rFonts w:ascii="Calibri" w:hAnsi="Calibri"/>
          <w:b/>
          <w:color w:val="525866"/>
          <w:sz w:val="22"/>
        </w:rPr>
        <w:t>this is the time to be bullish U.S. refining</w:t>
      </w:r>
      <w:r>
        <w:rPr>
          <w:rFonts w:ascii="Calibri" w:hAnsi="Calibri"/>
          <w:color w:val="525866"/>
          <w:sz w:val="22"/>
        </w:rPr>
        <w:t>” and guided Q2 crude utilization in the “</w:t>
      </w:r>
      <w:r>
        <w:rPr>
          <w:rFonts w:ascii="Calibri" w:hAnsi="Calibri"/>
          <w:b/>
          <w:color w:val="525866"/>
          <w:sz w:val="22"/>
        </w:rPr>
        <w:t>low to mid-90s</w:t>
      </w:r>
      <w:r>
        <w:rPr>
          <w:rFonts w:ascii="Calibri" w:hAnsi="Calibri"/>
          <w:color w:val="525866"/>
          <w:sz w:val="22"/>
        </w:rPr>
        <w:t xml:space="preserve">” with turnaround expense of $120–$150M — a lighter maintenance quarter than Q1’s $178M. Estimate revisions have been sharply positive: Q2 EPS consensus moved from $6.04 (5 days post-Q1 print) to $7.68 currently, a +27% upward revision, while FY2026 EPS moved from $16.97 to $21.71 over the same window, reflecting the sector-wide margin uplift. The stock has re-rated materially since the Q1 print (+22% from $173.49 to ~$211), driven almost entirely by earnings estimate upgrades rather than multiple expansion — NTM EV/EBITDA has actually compressed from ~8.4x to 7.4x over six months, suggesting the stock is not pricing in a beat. The key wildcard is the </w:t>
      </w:r>
      <w:r>
        <w:rPr>
          <w:rFonts w:ascii="Calibri" w:hAnsi="Calibri"/>
          <w:b/>
          <w:color w:val="525866"/>
          <w:sz w:val="22"/>
        </w:rPr>
        <w:t>magnitude of mark-to-market hedge reversal</w:t>
      </w:r>
      <w:r>
        <w:rPr>
          <w:rFonts w:ascii="Calibri" w:hAnsi="Calibri"/>
          <w:color w:val="525866"/>
          <w:sz w:val="22"/>
        </w:rPr>
        <w:t>: PSX guided ~$500M of the $839M Q1 MTM loss to reverse by year-end based on the forward curve, and any Q2 reversal would be additive to already-strong operational results; conversely, renewed commodity price spikes (e.g., Hormuz re-escalation) could create fresh MTM losses that obscure an otherwise strong operational quarter.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high bar in absolute terms but likely still beatable given peer prints — </w:t>
      </w:r>
      <w:r>
        <w:rPr>
          <w:rFonts w:ascii="Calibri" w:hAnsi="Calibri"/>
          <w:b/>
          <w:color w:val="525866"/>
          <w:sz w:val="22"/>
        </w:rPr>
        <w:t>Refining Adjusted EBITDA ($2.92B consensus) is the bigger swing factor</w:t>
      </w:r>
      <w:r>
        <w:rPr>
          <w:rFonts w:ascii="Calibri" w:hAnsi="Calibri"/>
          <w:color w:val="525866"/>
          <w:sz w:val="22"/>
        </w:rPr>
        <w:t>, as it captures both the margin environment and PSX’s commercial capture rate, which hit a record 138% in Q1.</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EPS — Diluted Operating ($)</w:t>
            </w:r>
          </w:p>
        </w:tc>
        <w:tc>
          <w:tcPr>
            <w:tcW w:type="dxa" w:w="1234"/>
          </w:tcPr>
          <w:p>
            <w:r>
              <w:rPr>
                <w:rFonts w:ascii="Calibri" w:hAnsi="Calibri"/>
                <w:sz w:val="22"/>
              </w:rPr>
              <w:t>$0.49</w:t>
            </w:r>
          </w:p>
        </w:tc>
        <w:tc>
          <w:tcPr>
            <w:tcW w:type="dxa" w:w="1234"/>
          </w:tcPr>
          <w:p>
            <w:r>
              <w:rPr>
                <w:rFonts w:ascii="Calibri" w:hAnsi="Calibri"/>
                <w:sz w:val="22"/>
              </w:rPr>
              <w:t>$2.38</w:t>
            </w:r>
          </w:p>
        </w:tc>
        <w:tc>
          <w:tcPr>
            <w:tcW w:type="dxa" w:w="1234"/>
          </w:tcPr>
          <w:p>
            <w:r>
              <w:rPr>
                <w:rFonts w:ascii="Calibri" w:hAnsi="Calibri"/>
                <w:sz w:val="22"/>
              </w:rPr>
              <w:t>$7.68</w:t>
            </w:r>
          </w:p>
        </w:tc>
        <w:tc>
          <w:tcPr>
            <w:tcW w:type="dxa" w:w="1234"/>
          </w:tcPr>
          <w:p>
            <w:r>
              <w:rPr>
                <w:rFonts w:ascii="Calibri" w:hAnsi="Calibri"/>
                <w:b/>
                <w:color w:val="30A46C"/>
                <w:sz w:val="22"/>
              </w:rPr>
              <w:t>+223% YoY</w:t>
            </w:r>
          </w:p>
        </w:tc>
        <w:tc>
          <w:tcPr>
            <w:tcW w:type="dxa" w:w="1234"/>
          </w:tcPr>
          <w:p>
            <w:r>
              <w:rPr>
                <w:rFonts w:ascii="Calibri" w:hAnsi="Calibri"/>
                <w:sz w:val="22"/>
              </w:rPr>
              <w:t>No specific EPS guidance</w:t>
            </w:r>
          </w:p>
        </w:tc>
        <w:tc>
          <w:tcPr>
            <w:tcW w:type="dxa" w:w="1234"/>
          </w:tcPr>
          <w:p>
            <w:r>
              <w:rPr>
                <w:rFonts w:ascii="Calibri" w:hAnsi="Calibri"/>
                <w:sz w:val="22"/>
              </w:rPr>
              <w:t>N/A</w:t>
            </w:r>
          </w:p>
        </w:tc>
      </w:tr>
      <w:tr>
        <w:tc>
          <w:tcPr>
            <w:tcW w:type="dxa" w:w="1234"/>
          </w:tcPr>
          <w:p>
            <w:r>
              <w:rPr>
                <w:rFonts w:ascii="Calibri" w:hAnsi="Calibri"/>
                <w:sz w:val="22"/>
              </w:rPr>
              <w:t>Refining Adj. EBITDA ($M)</w:t>
            </w:r>
          </w:p>
        </w:tc>
        <w:tc>
          <w:tcPr>
            <w:tcW w:type="dxa" w:w="1234"/>
          </w:tcPr>
          <w:p>
            <w:r>
              <w:rPr>
                <w:rFonts w:ascii="Calibri" w:hAnsi="Calibri"/>
                <w:sz w:val="22"/>
              </w:rPr>
              <w:t>$423M</w:t>
            </w:r>
          </w:p>
        </w:tc>
        <w:tc>
          <w:tcPr>
            <w:tcW w:type="dxa" w:w="1234"/>
          </w:tcPr>
          <w:p>
            <w:r>
              <w:rPr>
                <w:rFonts w:ascii="Calibri" w:hAnsi="Calibri"/>
                <w:sz w:val="22"/>
              </w:rPr>
              <w:t>$835M</w:t>
            </w:r>
          </w:p>
        </w:tc>
        <w:tc>
          <w:tcPr>
            <w:tcW w:type="dxa" w:w="1234"/>
          </w:tcPr>
          <w:p>
            <w:r>
              <w:rPr>
                <w:rFonts w:ascii="Calibri" w:hAnsi="Calibri"/>
                <w:sz w:val="22"/>
              </w:rPr>
              <w:t>$2,923M</w:t>
            </w:r>
          </w:p>
        </w:tc>
        <w:tc>
          <w:tcPr>
            <w:tcW w:type="dxa" w:w="1234"/>
          </w:tcPr>
          <w:p>
            <w:r>
              <w:rPr>
                <w:rFonts w:ascii="Calibri" w:hAnsi="Calibri"/>
                <w:b/>
                <w:color w:val="30A46C"/>
                <w:sz w:val="22"/>
              </w:rPr>
              <w:t>+250% YoY</w:t>
            </w:r>
          </w:p>
        </w:tc>
        <w:tc>
          <w:tcPr>
            <w:tcW w:type="dxa" w:w="1234"/>
          </w:tcPr>
          <w:p>
            <w:r>
              <w:rPr>
                <w:rFonts w:ascii="Calibri" w:hAnsi="Calibri"/>
                <w:sz w:val="22"/>
              </w:rPr>
              <w:t>No specific segment guidance</w:t>
            </w:r>
          </w:p>
        </w:tc>
        <w:tc>
          <w:tcPr>
            <w:tcW w:type="dxa" w:w="1234"/>
          </w:tcPr>
          <w:p>
            <w:r>
              <w:rPr>
                <w:rFonts w:ascii="Calibri" w:hAnsi="Calibri"/>
                <w:sz w:val="22"/>
              </w:rPr>
              <w:t>N/A</w:t>
            </w:r>
          </w:p>
        </w:tc>
      </w:tr>
      <w:tr>
        <w:tc>
          <w:tcPr>
            <w:tcW w:type="dxa" w:w="1234"/>
          </w:tcPr>
          <w:p>
            <w:r>
              <w:rPr>
                <w:rFonts w:ascii="Calibri" w:hAnsi="Calibri"/>
                <w:sz w:val="22"/>
              </w:rPr>
              <w:t>Midstream Adj. EBITDA ($M)</w:t>
            </w:r>
          </w:p>
        </w:tc>
        <w:tc>
          <w:tcPr>
            <w:tcW w:type="dxa" w:w="1234"/>
          </w:tcPr>
          <w:p>
            <w:r>
              <w:rPr>
                <w:rFonts w:ascii="Calibri" w:hAnsi="Calibri"/>
                <w:sz w:val="22"/>
              </w:rPr>
              <w:t>$865M</w:t>
            </w:r>
          </w:p>
        </w:tc>
        <w:tc>
          <w:tcPr>
            <w:tcW w:type="dxa" w:w="1234"/>
          </w:tcPr>
          <w:p>
            <w:r>
              <w:rPr>
                <w:rFonts w:ascii="Calibri" w:hAnsi="Calibri"/>
                <w:sz w:val="22"/>
              </w:rPr>
              <w:t>$991M</w:t>
            </w:r>
          </w:p>
        </w:tc>
        <w:tc>
          <w:tcPr>
            <w:tcW w:type="dxa" w:w="1234"/>
          </w:tcPr>
          <w:p>
            <w:r>
              <w:rPr>
                <w:rFonts w:ascii="Calibri" w:hAnsi="Calibri"/>
                <w:sz w:val="22"/>
              </w:rPr>
              <w:t>$998M</w:t>
            </w:r>
          </w:p>
        </w:tc>
        <w:tc>
          <w:tcPr>
            <w:tcW w:type="dxa" w:w="1234"/>
          </w:tcPr>
          <w:p>
            <w:r>
              <w:rPr>
                <w:rFonts w:ascii="Calibri" w:hAnsi="Calibri"/>
                <w:sz w:val="22"/>
              </w:rPr>
              <w:t>+0.7% YoY</w:t>
            </w:r>
          </w:p>
        </w:tc>
        <w:tc>
          <w:tcPr>
            <w:tcW w:type="dxa" w:w="1234"/>
          </w:tcPr>
          <w:p>
            <w:r>
              <w:rPr>
                <w:rFonts w:ascii="Calibri" w:hAnsi="Calibri"/>
                <w:sz w:val="22"/>
              </w:rPr>
              <w:t>On track to $4.5B run rate by end-2027</w:t>
            </w:r>
          </w:p>
        </w:tc>
        <w:tc>
          <w:tcPr>
            <w:tcW w:type="dxa" w:w="1234"/>
          </w:tcPr>
          <w:p>
            <w:r>
              <w:rPr>
                <w:rFonts w:ascii="Calibri" w:hAnsi="Calibri"/>
                <w:sz w:val="22"/>
              </w:rPr>
              <w:t>N/A (no quarterly target)</w:t>
            </w:r>
          </w:p>
        </w:tc>
      </w:tr>
      <w:tr>
        <w:tc>
          <w:tcPr>
            <w:tcW w:type="dxa" w:w="1234"/>
          </w:tcPr>
          <w:p>
            <w:r>
              <w:rPr>
                <w:rFonts w:ascii="Calibri" w:hAnsi="Calibri"/>
                <w:sz w:val="22"/>
              </w:rPr>
              <w:t>Refinery Crude Utilization (%)</w:t>
            </w:r>
          </w:p>
        </w:tc>
        <w:tc>
          <w:tcPr>
            <w:tcW w:type="dxa" w:w="1234"/>
          </w:tcPr>
          <w:p>
            <w:r>
              <w:rPr>
                <w:rFonts w:ascii="Calibri" w:hAnsi="Calibri"/>
                <w:sz w:val="22"/>
              </w:rPr>
              <w:t>95.0%</w:t>
            </w:r>
          </w:p>
        </w:tc>
        <w:tc>
          <w:tcPr>
            <w:tcW w:type="dxa" w:w="1234"/>
          </w:tcPr>
          <w:p>
            <w:r>
              <w:rPr>
                <w:rFonts w:ascii="Calibri" w:hAnsi="Calibri"/>
                <w:sz w:val="22"/>
              </w:rPr>
              <w:t>104.3%</w:t>
            </w:r>
          </w:p>
        </w:tc>
        <w:tc>
          <w:tcPr>
            <w:tcW w:type="dxa" w:w="1234"/>
          </w:tcPr>
          <w:p>
            <w:r>
              <w:rPr>
                <w:rFonts w:ascii="Calibri" w:hAnsi="Calibri"/>
                <w:sz w:val="22"/>
              </w:rPr>
              <w:t>100.1%</w:t>
            </w:r>
          </w:p>
        </w:tc>
        <w:tc>
          <w:tcPr>
            <w:tcW w:type="dxa" w:w="1234"/>
          </w:tcPr>
          <w:p>
            <w:r>
              <w:rPr>
                <w:rFonts w:ascii="Calibri" w:hAnsi="Calibri"/>
                <w:sz w:val="22"/>
              </w:rPr>
              <w:t>-4.2pp YoY</w:t>
            </w:r>
          </w:p>
        </w:tc>
        <w:tc>
          <w:tcPr>
            <w:tcW w:type="dxa" w:w="1234"/>
          </w:tcPr>
          <w:p>
            <w:r>
              <w:rPr>
                <w:rFonts w:ascii="Calibri" w:hAnsi="Calibri"/>
                <w:sz w:val="22"/>
              </w:rPr>
              <w:t>Low-to-mid 90s</w:t>
            </w:r>
          </w:p>
        </w:tc>
        <w:tc>
          <w:tcPr>
            <w:tcW w:type="dxa" w:w="1234"/>
          </w:tcPr>
          <w:p>
            <w:r>
              <w:rPr>
                <w:rFonts w:ascii="Calibri" w:hAnsi="Calibri"/>
                <w:sz w:val="22"/>
              </w:rPr>
              <w:t>~+5pp above guidance midpoint</w:t>
            </w:r>
          </w:p>
        </w:tc>
      </w:tr>
      <w:tr>
        <w:tc>
          <w:tcPr>
            <w:tcW w:type="dxa" w:w="1234"/>
          </w:tcPr>
          <w:p>
            <w:r>
              <w:rPr>
                <w:rFonts w:ascii="Calibri" w:hAnsi="Calibri"/>
                <w:sz w:val="22"/>
              </w:rPr>
              <w:t>Controllable Cost/Bbl — Refining ($)</w:t>
            </w:r>
          </w:p>
        </w:tc>
        <w:tc>
          <w:tcPr>
            <w:tcW w:type="dxa" w:w="1234"/>
          </w:tcPr>
          <w:p>
            <w:r>
              <w:rPr>
                <w:rFonts w:ascii="Calibri" w:hAnsi="Calibri"/>
                <w:sz w:val="22"/>
              </w:rPr>
              <w:t>$7.08</w:t>
            </w:r>
          </w:p>
        </w:tc>
        <w:tc>
          <w:tcPr>
            <w:tcW w:type="dxa" w:w="1234"/>
          </w:tcPr>
          <w:p>
            <w:r>
              <w:rPr>
                <w:rFonts w:ascii="Calibri" w:hAnsi="Calibri"/>
                <w:sz w:val="22"/>
              </w:rPr>
              <w:t>$5.03</w:t>
            </w:r>
          </w:p>
        </w:tc>
        <w:tc>
          <w:tcPr>
            <w:tcW w:type="dxa" w:w="1234"/>
          </w:tcPr>
          <w:p>
            <w:r>
              <w:rPr>
                <w:rFonts w:ascii="Calibri" w:hAnsi="Calibri"/>
                <w:sz w:val="22"/>
              </w:rPr>
              <w:t>$5.97</w:t>
            </w:r>
          </w:p>
        </w:tc>
        <w:tc>
          <w:tcPr>
            <w:tcW w:type="dxa" w:w="1234"/>
          </w:tcPr>
          <w:p>
            <w:r>
              <w:rPr>
                <w:rFonts w:ascii="Calibri" w:hAnsi="Calibri"/>
                <w:b/>
                <w:color w:val="E5484D"/>
                <w:sz w:val="22"/>
              </w:rPr>
              <w:t>+18.7% YoY</w:t>
            </w:r>
          </w:p>
        </w:tc>
        <w:tc>
          <w:tcPr>
            <w:tcW w:type="dxa" w:w="1234"/>
          </w:tcPr>
          <w:p>
            <w:r>
              <w:rPr>
                <w:rFonts w:ascii="Calibri" w:hAnsi="Calibri"/>
                <w:sz w:val="22"/>
              </w:rPr>
              <w:t>$5.50/bbl target by end-2027</w:t>
            </w:r>
          </w:p>
        </w:tc>
        <w:tc>
          <w:tcPr>
            <w:tcW w:type="dxa" w:w="1234"/>
          </w:tcPr>
          <w:p>
            <w:r>
              <w:rPr>
                <w:rFonts w:ascii="Calibri" w:hAnsi="Calibri"/>
                <w:sz w:val="22"/>
              </w:rPr>
              <w:t>+8.5% above 2027 target</w:t>
            </w:r>
          </w:p>
        </w:tc>
      </w:tr>
      <w:tr>
        <w:tc>
          <w:tcPr>
            <w:tcW w:type="dxa" w:w="1234"/>
          </w:tcPr>
          <w:p>
            <w:r>
              <w:rPr>
                <w:rFonts w:ascii="Calibri" w:hAnsi="Calibri"/>
                <w:sz w:val="22"/>
              </w:rPr>
              <w:t>Refining Turnaround Expense ($M)</w:t>
            </w:r>
          </w:p>
        </w:tc>
        <w:tc>
          <w:tcPr>
            <w:tcW w:type="dxa" w:w="1234"/>
          </w:tcPr>
          <w:p>
            <w:r>
              <w:rPr>
                <w:rFonts w:ascii="Calibri" w:hAnsi="Calibri"/>
                <w:sz w:val="22"/>
              </w:rPr>
              <w:t>$178M</w:t>
            </w:r>
          </w:p>
        </w:tc>
        <w:tc>
          <w:tcPr>
            <w:tcW w:type="dxa" w:w="1234"/>
          </w:tcPr>
          <w:p>
            <w:r>
              <w:rPr>
                <w:rFonts w:ascii="Calibri" w:hAnsi="Calibri"/>
                <w:sz w:val="22"/>
              </w:rPr>
              <w:t>N/A — not in VA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$120–$150M</w:t>
            </w:r>
          </w:p>
        </w:tc>
        <w:tc>
          <w:tcPr>
            <w:tcW w:type="dxa" w:w="1234"/>
          </w:tcPr>
          <w:p>
            <w:r>
              <w:rPr>
                <w:rFonts w:ascii="Calibri" w:hAnsi="Calibri"/>
                <w:sz w:val="22"/>
              </w:rPr>
              <w:t>N/A (no consensus)</w:t>
            </w:r>
          </w:p>
        </w:tc>
      </w:tr>
      <w:tr>
        <w:tc>
          <w:tcPr>
            <w:tcW w:type="dxa" w:w="1234"/>
          </w:tcPr>
          <w:p>
            <w:r>
              <w:rPr>
                <w:rFonts w:ascii="Calibri" w:hAnsi="Calibri"/>
                <w:sz w:val="22"/>
              </w:rPr>
              <w:t>Corporate &amp; Other Costs ($M)</w:t>
            </w:r>
          </w:p>
        </w:tc>
        <w:tc>
          <w:tcPr>
            <w:tcW w:type="dxa" w:w="1234"/>
          </w:tcPr>
          <w:p>
            <w:r>
              <w:rPr>
                <w:rFonts w:ascii="Calibri" w:hAnsi="Calibri"/>
                <w:sz w:val="22"/>
              </w:rPr>
              <w:t>$451M (adj. pretax loss)</w:t>
            </w:r>
          </w:p>
        </w:tc>
        <w:tc>
          <w:tcPr>
            <w:tcW w:type="dxa" w:w="1234"/>
          </w:tcPr>
          <w:p>
            <w:r>
              <w:rPr>
                <w:rFonts w:ascii="Calibri" w:hAnsi="Calibri"/>
                <w:sz w:val="22"/>
              </w:rPr>
              <w:t>N/A — not in VA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$430–$450M</w:t>
            </w:r>
          </w:p>
        </w:tc>
        <w:tc>
          <w:tcPr>
            <w:tcW w:type="dxa" w:w="1234"/>
          </w:tcPr>
          <w:p>
            <w:r>
              <w:rPr>
                <w:rFonts w:ascii="Calibri" w:hAnsi="Calibri"/>
                <w:sz w:val="22"/>
              </w:rPr>
              <w:t>N/A (no consensus)</w:t>
            </w:r>
          </w:p>
        </w:tc>
      </w:tr>
    </w:tbl>
    <w:p>
      <w:r>
        <w:rPr>
          <w:rFonts w:ascii="Calibri" w:hAnsi="Calibri"/>
          <w:color w:val="525866"/>
          <w:sz w:val="22"/>
        </w:rPr>
        <w:t>Sources: Visible Alpha Consensus and Actuals Data (EPS — Diluted — Operating, Refining Adj. EBITDA, Midstream Adj. EBITDA, Utilization, Controllable Cost/Bbl); PSX Q1 2026 Earnings Call transcript for guidance figures.</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$0.49</w:t>
            </w:r>
          </w:p>
        </w:tc>
        <w:tc>
          <w:tcPr>
            <w:tcW w:type="dxa" w:w="1728"/>
          </w:tcPr>
          <w:p>
            <w:r>
              <w:rPr>
                <w:rFonts w:ascii="Calibri" w:hAnsi="Calibri"/>
                <w:sz w:val="22"/>
              </w:rPr>
              <w:t>-$0.45</w:t>
            </w:r>
          </w:p>
        </w:tc>
        <w:tc>
          <w:tcPr>
            <w:tcW w:type="dxa" w:w="1728"/>
          </w:tcPr>
          <w:p>
            <w:r>
              <w:rPr>
                <w:rFonts w:ascii="Calibri" w:hAnsi="Calibri"/>
                <w:b/>
                <w:color w:val="30A46C"/>
                <w:sz w:val="22"/>
              </w:rPr>
              <w:t>N/M (swing to profit)</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$2.47</w:t>
            </w:r>
          </w:p>
        </w:tc>
        <w:tc>
          <w:tcPr>
            <w:tcW w:type="dxa" w:w="1728"/>
          </w:tcPr>
          <w:p>
            <w:r>
              <w:rPr>
                <w:rFonts w:ascii="Calibri" w:hAnsi="Calibri"/>
                <w:sz w:val="22"/>
              </w:rPr>
              <w:t>$2.17</w:t>
            </w:r>
          </w:p>
        </w:tc>
        <w:tc>
          <w:tcPr>
            <w:tcW w:type="dxa" w:w="1728"/>
          </w:tcPr>
          <w:p>
            <w:r>
              <w:rPr>
                <w:rFonts w:ascii="Calibri" w:hAnsi="Calibri"/>
                <w:b/>
                <w:color w:val="30A46C"/>
                <w:sz w:val="22"/>
              </w:rPr>
              <w:t>+14.0%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$2.52</w:t>
            </w:r>
          </w:p>
        </w:tc>
        <w:tc>
          <w:tcPr>
            <w:tcW w:type="dxa" w:w="1728"/>
          </w:tcPr>
          <w:p>
            <w:r>
              <w:rPr>
                <w:rFonts w:ascii="Calibri" w:hAnsi="Calibri"/>
                <w:sz w:val="22"/>
              </w:rPr>
              <w:t>$2.15</w:t>
            </w:r>
          </w:p>
        </w:tc>
        <w:tc>
          <w:tcPr>
            <w:tcW w:type="dxa" w:w="1728"/>
          </w:tcPr>
          <w:p>
            <w:r>
              <w:rPr>
                <w:rFonts w:ascii="Calibri" w:hAnsi="Calibri"/>
                <w:b/>
                <w:color w:val="30A46C"/>
                <w:sz w:val="22"/>
              </w:rPr>
              <w:t>+17.2%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$2.38</w:t>
            </w:r>
          </w:p>
        </w:tc>
        <w:tc>
          <w:tcPr>
            <w:tcW w:type="dxa" w:w="1728"/>
          </w:tcPr>
          <w:p>
            <w:r>
              <w:rPr>
                <w:rFonts w:ascii="Calibri" w:hAnsi="Calibri"/>
                <w:sz w:val="22"/>
              </w:rPr>
              <w:t>$1.68</w:t>
            </w:r>
          </w:p>
        </w:tc>
        <w:tc>
          <w:tcPr>
            <w:tcW w:type="dxa" w:w="1728"/>
          </w:tcPr>
          <w:p>
            <w:r>
              <w:rPr>
                <w:rFonts w:ascii="Calibri" w:hAnsi="Calibri"/>
                <w:b/>
                <w:color w:val="30A46C"/>
                <w:sz w:val="22"/>
              </w:rPr>
              <w:t>+41.7%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-$0.90</w:t>
            </w:r>
          </w:p>
        </w:tc>
        <w:tc>
          <w:tcPr>
            <w:tcW w:type="dxa" w:w="1728"/>
          </w:tcPr>
          <w:p>
            <w:r>
              <w:rPr>
                <w:rFonts w:ascii="Calibri" w:hAnsi="Calibri"/>
                <w:sz w:val="22"/>
              </w:rPr>
              <w:t>-$0.72</w:t>
            </w:r>
          </w:p>
        </w:tc>
        <w:tc>
          <w:tcPr>
            <w:tcW w:type="dxa" w:w="1728"/>
          </w:tcPr>
          <w:p>
            <w:r>
              <w:rPr>
                <w:rFonts w:ascii="Calibri" w:hAnsi="Calibri"/>
                <w:b/>
                <w:color w:val="E5484D"/>
                <w:sz w:val="22"/>
              </w:rPr>
              <w:t>-24.7%</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-$0.15</w:t>
            </w:r>
          </w:p>
        </w:tc>
        <w:tc>
          <w:tcPr>
            <w:tcW w:type="dxa" w:w="1728"/>
          </w:tcPr>
          <w:p>
            <w:r>
              <w:rPr>
                <w:rFonts w:ascii="Calibri" w:hAnsi="Calibri"/>
                <w:sz w:val="22"/>
              </w:rPr>
              <w:t>-$0.23</w:t>
            </w:r>
          </w:p>
        </w:tc>
        <w:tc>
          <w:tcPr>
            <w:tcW w:type="dxa" w:w="1728"/>
          </w:tcPr>
          <w:p>
            <w:r>
              <w:rPr>
                <w:rFonts w:ascii="Calibri" w:hAnsi="Calibri"/>
                <w:b/>
                <w:color w:val="30A46C"/>
                <w:sz w:val="22"/>
              </w:rPr>
              <w:t>+37.0%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$2.04</w:t>
            </w:r>
          </w:p>
        </w:tc>
        <w:tc>
          <w:tcPr>
            <w:tcW w:type="dxa" w:w="1728"/>
          </w:tcPr>
          <w:p>
            <w:r>
              <w:rPr>
                <w:rFonts w:ascii="Calibri" w:hAnsi="Calibri"/>
                <w:sz w:val="22"/>
              </w:rPr>
              <w:t>$1.65</w:t>
            </w:r>
          </w:p>
        </w:tc>
        <w:tc>
          <w:tcPr>
            <w:tcW w:type="dxa" w:w="1728"/>
          </w:tcPr>
          <w:p>
            <w:r>
              <w:rPr>
                <w:rFonts w:ascii="Calibri" w:hAnsi="Calibri"/>
                <w:b/>
                <w:color w:val="30A46C"/>
                <w:sz w:val="22"/>
              </w:rPr>
              <w:t>+23.6%</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Refining Adjusted EBITDA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$423M</w:t>
            </w:r>
          </w:p>
        </w:tc>
        <w:tc>
          <w:tcPr>
            <w:tcW w:type="dxa" w:w="1728"/>
          </w:tcPr>
          <w:p>
            <w:r>
              <w:rPr>
                <w:rFonts w:ascii="Calibri" w:hAnsi="Calibri"/>
                <w:sz w:val="22"/>
              </w:rPr>
              <w:t>-$71M</w:t>
            </w:r>
          </w:p>
        </w:tc>
        <w:tc>
          <w:tcPr>
            <w:tcW w:type="dxa" w:w="1728"/>
          </w:tcPr>
          <w:p>
            <w:r>
              <w:rPr>
                <w:rFonts w:ascii="Calibri" w:hAnsi="Calibri"/>
                <w:b/>
                <w:color w:val="30A46C"/>
                <w:sz w:val="22"/>
              </w:rPr>
              <w:t>N/M (swing to positive)</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$1,019M</w:t>
            </w:r>
          </w:p>
        </w:tc>
        <w:tc>
          <w:tcPr>
            <w:tcW w:type="dxa" w:w="1728"/>
          </w:tcPr>
          <w:p>
            <w:r>
              <w:rPr>
                <w:rFonts w:ascii="Calibri" w:hAnsi="Calibri"/>
                <w:sz w:val="22"/>
              </w:rPr>
              <w:t>$927M</w:t>
            </w:r>
          </w:p>
        </w:tc>
        <w:tc>
          <w:tcPr>
            <w:tcW w:type="dxa" w:w="1728"/>
          </w:tcPr>
          <w:p>
            <w:r>
              <w:rPr>
                <w:rFonts w:ascii="Calibri" w:hAnsi="Calibri"/>
                <w:b/>
                <w:color w:val="30A46C"/>
                <w:sz w:val="22"/>
              </w:rPr>
              <w:t>+9.9%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$874M</w:t>
            </w:r>
          </w:p>
        </w:tc>
        <w:tc>
          <w:tcPr>
            <w:tcW w:type="dxa" w:w="1728"/>
          </w:tcPr>
          <w:p>
            <w:r>
              <w:rPr>
                <w:rFonts w:ascii="Calibri" w:hAnsi="Calibri"/>
                <w:sz w:val="22"/>
              </w:rPr>
              <w:t>$870M</w:t>
            </w:r>
          </w:p>
        </w:tc>
        <w:tc>
          <w:tcPr>
            <w:tcW w:type="dxa" w:w="1728"/>
          </w:tcPr>
          <w:p>
            <w:r>
              <w:rPr>
                <w:rFonts w:ascii="Calibri" w:hAnsi="Calibri"/>
                <w:b/>
                <w:color w:val="30A46C"/>
                <w:sz w:val="22"/>
              </w:rPr>
              <w:t>+0.5%</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$835M</w:t>
            </w:r>
          </w:p>
        </w:tc>
        <w:tc>
          <w:tcPr>
            <w:tcW w:type="dxa" w:w="1728"/>
          </w:tcPr>
          <w:p>
            <w:r>
              <w:rPr>
                <w:rFonts w:ascii="Calibri" w:hAnsi="Calibri"/>
                <w:sz w:val="22"/>
              </w:rPr>
              <w:t>$659M</w:t>
            </w:r>
          </w:p>
        </w:tc>
        <w:tc>
          <w:tcPr>
            <w:tcW w:type="dxa" w:w="1728"/>
          </w:tcPr>
          <w:p>
            <w:r>
              <w:rPr>
                <w:rFonts w:ascii="Calibri" w:hAnsi="Calibri"/>
                <w:b/>
                <w:color w:val="30A46C"/>
                <w:sz w:val="22"/>
              </w:rPr>
              <w:t>+26.7%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-$481M</w:t>
            </w:r>
          </w:p>
        </w:tc>
        <w:tc>
          <w:tcPr>
            <w:tcW w:type="dxa" w:w="1728"/>
          </w:tcPr>
          <w:p>
            <w:r>
              <w:rPr>
                <w:rFonts w:ascii="Calibri" w:hAnsi="Calibri"/>
                <w:sz w:val="22"/>
              </w:rPr>
              <w:t>-$494M</w:t>
            </w:r>
          </w:p>
        </w:tc>
        <w:tc>
          <w:tcPr>
            <w:tcW w:type="dxa" w:w="1728"/>
          </w:tcPr>
          <w:p>
            <w:r>
              <w:rPr>
                <w:rFonts w:ascii="Calibri" w:hAnsi="Calibri"/>
                <w:b/>
                <w:color w:val="30A46C"/>
                <w:sz w:val="22"/>
              </w:rPr>
              <w:t>+2.6% (smaller loss)</w:t>
            </w:r>
          </w:p>
        </w:tc>
        <w:tc>
          <w:tcPr>
            <w:tcW w:type="dxa" w:w="1728"/>
          </w:tcPr>
          <w:p>
            <w:r>
              <w:rPr>
                <w:rFonts w:ascii="Calibri" w:hAnsi="Calibri"/>
                <w:sz w:val="22"/>
              </w:rPr>
              <w:t>Slight Beat</w:t>
            </w:r>
          </w:p>
        </w:tc>
      </w:tr>
      <w:tr>
        <w:tc>
          <w:tcPr>
            <w:tcW w:type="dxa" w:w="1728"/>
          </w:tcPr>
          <w:p>
            <w:r>
              <w:rPr>
                <w:rFonts w:ascii="Calibri" w:hAnsi="Calibri"/>
                <w:sz w:val="22"/>
              </w:rPr>
              <w:t>Q4 2024</w:t>
            </w:r>
          </w:p>
        </w:tc>
        <w:tc>
          <w:tcPr>
            <w:tcW w:type="dxa" w:w="1728"/>
          </w:tcPr>
          <w:p>
            <w:r>
              <w:rPr>
                <w:rFonts w:ascii="Calibri" w:hAnsi="Calibri"/>
                <w:sz w:val="22"/>
              </w:rPr>
              <w:t>-$324M</w:t>
            </w:r>
          </w:p>
        </w:tc>
        <w:tc>
          <w:tcPr>
            <w:tcW w:type="dxa" w:w="1728"/>
          </w:tcPr>
          <w:p>
            <w:r>
              <w:rPr>
                <w:rFonts w:ascii="Calibri" w:hAnsi="Calibri"/>
                <w:sz w:val="22"/>
              </w:rPr>
              <w:t>-$375M</w:t>
            </w:r>
          </w:p>
        </w:tc>
        <w:tc>
          <w:tcPr>
            <w:tcW w:type="dxa" w:w="1728"/>
          </w:tcPr>
          <w:p>
            <w:r>
              <w:rPr>
                <w:rFonts w:ascii="Calibri" w:hAnsi="Calibri"/>
                <w:b/>
                <w:color w:val="30A46C"/>
                <w:sz w:val="22"/>
              </w:rPr>
              <w:t>+13.6% (smaller loss)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$163M</w:t>
            </w:r>
          </w:p>
        </w:tc>
        <w:tc>
          <w:tcPr>
            <w:tcW w:type="dxa" w:w="1728"/>
          </w:tcPr>
          <w:p>
            <w:r>
              <w:rPr>
                <w:rFonts w:ascii="Calibri" w:hAnsi="Calibri"/>
                <w:sz w:val="22"/>
              </w:rPr>
              <w:t>$133M</w:t>
            </w:r>
          </w:p>
        </w:tc>
        <w:tc>
          <w:tcPr>
            <w:tcW w:type="dxa" w:w="1728"/>
          </w:tcPr>
          <w:p>
            <w:r>
              <w:rPr>
                <w:rFonts w:ascii="Calibri" w:hAnsi="Calibri"/>
                <w:b/>
                <w:color w:val="30A46C"/>
                <w:sz w:val="22"/>
              </w:rPr>
              <w:t>+22.6%</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PSX has beaten on both EPS and Refining EBITDA in 6 of the last 7 reportable quarters, with the sole miss on EPS in Q1 2025 driven by mark-to-market losses — the same dynamic that depressed Q1 2026 reported EPS but was correctly identified as non-cash by the market. The consistent beat pattern on Refining EBITDA reflects PSX’s commercial capture advantage.</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but management’s tone has shifted from “confident” to “</w:t>
      </w:r>
      <w:r>
        <w:rPr>
          <w:rFonts w:ascii="Calibri" w:hAnsi="Calibri"/>
          <w:b/>
          <w:color w:val="525866"/>
          <w:sz w:val="22"/>
        </w:rPr>
        <w:t>actively bullish</w:t>
      </w:r>
      <w:r>
        <w:rPr>
          <w:rFonts w:ascii="Calibri" w:hAnsi="Calibri"/>
          <w:color w:val="525866"/>
          <w:sz w:val="22"/>
        </w:rPr>
        <w:t>” across refining, chemicals, and renewable fuels — the Western Gateway Pipeline FID is the most significant pending catalyst.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Worldwide Crude Utilization</w:t>
            </w:r>
          </w:p>
        </w:tc>
        <w:tc>
          <w:tcPr>
            <w:tcW w:type="dxa" w:w="1728"/>
          </w:tcPr>
          <w:p>
            <w:r>
              <w:rPr>
                <w:rFonts w:ascii="Calibri" w:hAnsi="Calibri"/>
                <w:sz w:val="22"/>
              </w:rPr>
              <w:t>Low-to-mid 90s</w:t>
            </w:r>
          </w:p>
        </w:tc>
        <w:tc>
          <w:tcPr>
            <w:tcW w:type="dxa" w:w="1728"/>
          </w:tcPr>
          <w:p>
            <w:r>
              <w:rPr>
                <w:rFonts w:ascii="Calibri" w:hAnsi="Calibri"/>
                <w:sz w:val="22"/>
              </w:rPr>
              <w:t>—</w:t>
            </w:r>
          </w:p>
        </w:tc>
        <w:tc>
          <w:tcPr>
            <w:tcW w:type="dxa" w:w="1728"/>
          </w:tcPr>
          <w:p>
            <w:r>
              <w:rPr>
                <w:rFonts w:ascii="Calibri" w:hAnsi="Calibri"/>
                <w:sz w:val="22"/>
              </w:rPr>
              <w:t>100.1%</w:t>
            </w:r>
          </w:p>
        </w:tc>
        <w:tc>
          <w:tcPr>
            <w:tcW w:type="dxa" w:w="1728"/>
          </w:tcPr>
          <w:p>
            <w:r>
              <w:rPr>
                <w:rFonts w:ascii="Calibri" w:hAnsi="Calibri"/>
                <w:sz w:val="22"/>
              </w:rPr>
              <w:t>Consensus above guidance midpoint; no post-earnings revision</w:t>
            </w:r>
          </w:p>
        </w:tc>
      </w:tr>
      <w:tr>
        <w:tc>
          <w:tcPr>
            <w:tcW w:type="dxa" w:w="1728"/>
          </w:tcPr>
          <w:p>
            <w:r>
              <w:rPr>
                <w:rFonts w:ascii="Calibri" w:hAnsi="Calibri"/>
                <w:sz w:val="22"/>
              </w:rPr>
              <w:t>Q2 Chemicals O&amp;P Utilization</w:t>
            </w:r>
          </w:p>
        </w:tc>
        <w:tc>
          <w:tcPr>
            <w:tcW w:type="dxa" w:w="1728"/>
          </w:tcPr>
          <w:p>
            <w:r>
              <w:rPr>
                <w:rFonts w:ascii="Calibri" w:hAnsi="Calibri"/>
                <w:sz w:val="22"/>
              </w:rPr>
              <w:t>Low 80s</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Driven by Middle East JV uncertainty; no revision</w:t>
            </w:r>
          </w:p>
        </w:tc>
      </w:tr>
      <w:tr>
        <w:tc>
          <w:tcPr>
            <w:tcW w:type="dxa" w:w="1728"/>
          </w:tcPr>
          <w:p>
            <w:r>
              <w:rPr>
                <w:rFonts w:ascii="Calibri" w:hAnsi="Calibri"/>
                <w:sz w:val="22"/>
              </w:rPr>
              <w:t>Q2 Turnaround Expense</w:t>
            </w:r>
          </w:p>
        </w:tc>
        <w:tc>
          <w:tcPr>
            <w:tcW w:type="dxa" w:w="1728"/>
          </w:tcPr>
          <w:p>
            <w:r>
              <w:rPr>
                <w:rFonts w:ascii="Calibri" w:hAnsi="Calibri"/>
                <w:sz w:val="22"/>
              </w:rPr>
              <w:t>$120–$150M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Lighter than Q1’s $178M; no revision</w:t>
            </w:r>
          </w:p>
        </w:tc>
      </w:tr>
      <w:tr>
        <w:tc>
          <w:tcPr>
            <w:tcW w:type="dxa" w:w="1728"/>
          </w:tcPr>
          <w:p>
            <w:r>
              <w:rPr>
                <w:rFonts w:ascii="Calibri" w:hAnsi="Calibri"/>
                <w:sz w:val="22"/>
              </w:rPr>
              <w:t>Q2 Corporate &amp; Other Costs</w:t>
            </w:r>
          </w:p>
        </w:tc>
        <w:tc>
          <w:tcPr>
            <w:tcW w:type="dxa" w:w="1728"/>
          </w:tcPr>
          <w:p>
            <w:r>
              <w:rPr>
                <w:rFonts w:ascii="Calibri" w:hAnsi="Calibri"/>
                <w:sz w:val="22"/>
              </w:rPr>
              <w:t>$430–$450M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No revision; includes LA Refinery decommissioning costs</w:t>
            </w:r>
          </w:p>
        </w:tc>
      </w:tr>
      <w:tr>
        <w:tc>
          <w:tcPr>
            <w:tcW w:type="dxa" w:w="1728"/>
          </w:tcPr>
          <w:p>
            <w:r>
              <w:rPr>
                <w:rFonts w:ascii="Calibri" w:hAnsi="Calibri"/>
                <w:sz w:val="22"/>
              </w:rPr>
              <w:t>Total Debt Target (YE 2026)</w:t>
            </w:r>
          </w:p>
        </w:tc>
        <w:tc>
          <w:tcPr>
            <w:tcW w:type="dxa" w:w="1728"/>
          </w:tcPr>
          <w:p>
            <w:r>
              <w:rPr>
                <w:rFonts w:ascii="Calibri" w:hAnsi="Calibri"/>
                <w:sz w:val="22"/>
              </w:rPr>
              <w:t>~$19B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Path: collateral release + OCF + working capital normalization; no revision</w:t>
            </w:r>
          </w:p>
        </w:tc>
      </w:tr>
      <w:tr>
        <w:tc>
          <w:tcPr>
            <w:tcW w:type="dxa" w:w="1728"/>
          </w:tcPr>
          <w:p>
            <w:r>
              <w:rPr>
                <w:rFonts w:ascii="Calibri" w:hAnsi="Calibri"/>
                <w:sz w:val="22"/>
              </w:rPr>
              <w:t>Total Debt Target (YE 2027)</w:t>
            </w:r>
          </w:p>
        </w:tc>
        <w:tc>
          <w:tcPr>
            <w:tcW w:type="dxa" w:w="1728"/>
          </w:tcPr>
          <w:p>
            <w:r>
              <w:rPr>
                <w:rFonts w:ascii="Calibri" w:hAnsi="Calibri"/>
                <w:sz w:val="22"/>
              </w:rPr>
              <w:t>$17B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~$1.5B annual reduction in 2026 and 2027</w:t>
            </w:r>
          </w:p>
        </w:tc>
      </w:tr>
      <w:tr>
        <w:tc>
          <w:tcPr>
            <w:tcW w:type="dxa" w:w="1728"/>
          </w:tcPr>
          <w:p>
            <w:r>
              <w:rPr>
                <w:rFonts w:ascii="Calibri" w:hAnsi="Calibri"/>
                <w:sz w:val="22"/>
              </w:rPr>
              <w:t>Shareholder Return Policy</w:t>
            </w:r>
          </w:p>
        </w:tc>
        <w:tc>
          <w:tcPr>
            <w:tcW w:type="dxa" w:w="1728"/>
          </w:tcPr>
          <w:p>
            <w:r>
              <w:rPr>
                <w:rFonts w:ascii="Calibri" w:hAnsi="Calibri"/>
                <w:sz w:val="22"/>
              </w:rPr>
              <w:t>&gt;50% of net operating cash flow</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dividend raised 7% annualized in Q1</w:t>
            </w:r>
          </w:p>
        </w:tc>
      </w:tr>
      <w:tr>
        <w:tc>
          <w:tcPr>
            <w:tcW w:type="dxa" w:w="1728"/>
          </w:tcPr>
          <w:p>
            <w:r>
              <w:rPr>
                <w:rFonts w:ascii="Calibri" w:hAnsi="Calibri"/>
                <w:sz w:val="22"/>
              </w:rPr>
              <w:t>Midstream EBITDA Target (YE 2027)</w:t>
            </w:r>
          </w:p>
        </w:tc>
        <w:tc>
          <w:tcPr>
            <w:tcW w:type="dxa" w:w="1728"/>
          </w:tcPr>
          <w:p>
            <w:r>
              <w:rPr>
                <w:rFonts w:ascii="Calibri" w:hAnsi="Calibri"/>
                <w:sz w:val="22"/>
              </w:rPr>
              <w:t>$4.5B run rate</w:t>
            </w:r>
          </w:p>
        </w:tc>
        <w:tc>
          <w:tcPr>
            <w:tcW w:type="dxa" w:w="1728"/>
          </w:tcPr>
          <w:p>
            <w:r>
              <w:rPr>
                <w:rFonts w:ascii="Calibri" w:hAnsi="Calibri"/>
                <w:sz w:val="22"/>
              </w:rPr>
              <w:t>—</w:t>
            </w:r>
          </w:p>
        </w:tc>
        <w:tc>
          <w:tcPr>
            <w:tcW w:type="dxa" w:w="1728"/>
          </w:tcPr>
          <w:p>
            <w:r>
              <w:rPr>
                <w:rFonts w:ascii="Calibri" w:hAnsi="Calibri"/>
                <w:sz w:val="22"/>
              </w:rPr>
              <w:t>$3.91B FY2026 consensus</w:t>
            </w:r>
          </w:p>
        </w:tc>
        <w:tc>
          <w:tcPr>
            <w:tcW w:type="dxa" w:w="1728"/>
          </w:tcPr>
          <w:p>
            <w:r>
              <w:rPr>
                <w:rFonts w:ascii="Calibri" w:hAnsi="Calibri"/>
                <w:sz w:val="22"/>
              </w:rPr>
              <w:t>Confident delivery; Zeus Gas Plant &amp; Coastal Bend Fractionator 3 FID’d May 2026 for 2028 startup</w:t>
            </w:r>
          </w:p>
        </w:tc>
      </w:tr>
      <w:tr>
        <w:tc>
          <w:tcPr>
            <w:tcW w:type="dxa" w:w="1728"/>
          </w:tcPr>
          <w:p>
            <w:r>
              <w:rPr>
                <w:rFonts w:ascii="Calibri" w:hAnsi="Calibri"/>
                <w:sz w:val="22"/>
              </w:rPr>
              <w:t>Western Gateway Pipeline FID</w:t>
            </w:r>
          </w:p>
        </w:tc>
        <w:tc>
          <w:tcPr>
            <w:tcW w:type="dxa" w:w="1728"/>
          </w:tcPr>
          <w:p>
            <w:r>
              <w:rPr>
                <w:rFonts w:ascii="Calibri" w:hAnsi="Calibri"/>
                <w:sz w:val="22"/>
              </w:rPr>
              <w:t>Mid-to-late summer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2029 in-service date; JV with Kinder Morgan; FID imminent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revised sharply higher since the Q1 print — Q2 EPS consensus is up </w:t>
      </w:r>
      <w:r>
        <w:rPr>
          <w:rFonts w:ascii="Calibri" w:hAnsi="Calibri"/>
          <w:b/>
          <w:color w:val="525866"/>
          <w:sz w:val="22"/>
        </w:rPr>
        <w:t>+27% and FY2026 EPS is up +28%</w:t>
      </w:r>
      <w:r>
        <w:rPr>
          <w:rFonts w:ascii="Calibri" w:hAnsi="Calibri"/>
          <w:color w:val="525866"/>
          <w:sz w:val="22"/>
        </w:rPr>
        <w:t xml:space="preserve"> from the post-Q1 baseline — reflecting the sector-wide margin uplift from Middle East supply disruptions; the gap between current consensus and initial guidance is entirely driven by the macro environment, not company-specific guidance changes.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EPS — Diluted Operating (Q2 2026)</w:t>
            </w:r>
          </w:p>
        </w:tc>
        <w:tc>
          <w:tcPr>
            <w:tcW w:type="dxa" w:w="1080"/>
          </w:tcPr>
          <w:p>
            <w:r>
              <w:rPr>
                <w:rFonts w:ascii="Calibri" w:hAnsi="Calibri"/>
                <w:sz w:val="22"/>
              </w:rPr>
              <w:t>$6.04</w:t>
            </w:r>
          </w:p>
        </w:tc>
        <w:tc>
          <w:tcPr>
            <w:tcW w:type="dxa" w:w="1080"/>
          </w:tcPr>
          <w:p>
            <w:r>
              <w:rPr>
                <w:rFonts w:ascii="Calibri" w:hAnsi="Calibri"/>
                <w:sz w:val="22"/>
              </w:rPr>
              <w:t>$7.68</w:t>
            </w:r>
          </w:p>
        </w:tc>
        <w:tc>
          <w:tcPr>
            <w:tcW w:type="dxa" w:w="1080"/>
          </w:tcPr>
          <w:p>
            <w:r>
              <w:rPr>
                <w:rFonts w:ascii="Calibri" w:hAnsi="Calibri"/>
                <w:b/>
                <w:color w:val="30A46C"/>
                <w:sz w:val="22"/>
              </w:rPr>
              <w:t>+27.2%</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(FY2026)</w:t>
            </w:r>
          </w:p>
        </w:tc>
        <w:tc>
          <w:tcPr>
            <w:tcW w:type="dxa" w:w="1080"/>
          </w:tcPr>
          <w:p>
            <w:r>
              <w:rPr>
                <w:rFonts w:ascii="Calibri" w:hAnsi="Calibri"/>
                <w:sz w:val="22"/>
              </w:rPr>
              <w:t>$16.97</w:t>
            </w:r>
          </w:p>
        </w:tc>
        <w:tc>
          <w:tcPr>
            <w:tcW w:type="dxa" w:w="1080"/>
          </w:tcPr>
          <w:p>
            <w:r>
              <w:rPr>
                <w:rFonts w:ascii="Calibri" w:hAnsi="Calibri"/>
                <w:sz w:val="22"/>
              </w:rPr>
              <w:t>$21.71</w:t>
            </w:r>
          </w:p>
        </w:tc>
        <w:tc>
          <w:tcPr>
            <w:tcW w:type="dxa" w:w="1080"/>
          </w:tcPr>
          <w:p>
            <w:r>
              <w:rPr>
                <w:rFonts w:ascii="Calibri" w:hAnsi="Calibri"/>
                <w:b/>
                <w:color w:val="30A46C"/>
                <w:sz w:val="22"/>
              </w:rPr>
              <w:t>+27.9%</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Refining Adj. EBITDA (Q2 2026)</w:t>
            </w:r>
          </w:p>
        </w:tc>
        <w:tc>
          <w:tcPr>
            <w:tcW w:type="dxa" w:w="1080"/>
          </w:tcPr>
          <w:p>
            <w:r>
              <w:rPr>
                <w:rFonts w:ascii="Calibri" w:hAnsi="Calibri"/>
                <w:sz w:val="22"/>
              </w:rPr>
              <w:t>$2,243M</w:t>
            </w:r>
          </w:p>
        </w:tc>
        <w:tc>
          <w:tcPr>
            <w:tcW w:type="dxa" w:w="1080"/>
          </w:tcPr>
          <w:p>
            <w:r>
              <w:rPr>
                <w:rFonts w:ascii="Calibri" w:hAnsi="Calibri"/>
                <w:sz w:val="22"/>
              </w:rPr>
              <w:t>$2,923M</w:t>
            </w:r>
          </w:p>
        </w:tc>
        <w:tc>
          <w:tcPr>
            <w:tcW w:type="dxa" w:w="1080"/>
          </w:tcPr>
          <w:p>
            <w:r>
              <w:rPr>
                <w:rFonts w:ascii="Calibri" w:hAnsi="Calibri"/>
                <w:b/>
                <w:color w:val="30A46C"/>
                <w:sz w:val="22"/>
              </w:rPr>
              <w:t>+30.3%</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Refining Adj. EBITDA (FY2026)</w:t>
            </w:r>
          </w:p>
        </w:tc>
        <w:tc>
          <w:tcPr>
            <w:tcW w:type="dxa" w:w="1080"/>
          </w:tcPr>
          <w:p>
            <w:r>
              <w:rPr>
                <w:rFonts w:ascii="Calibri" w:hAnsi="Calibri"/>
                <w:sz w:val="22"/>
              </w:rPr>
              <w:t>$6,588M</w:t>
            </w:r>
          </w:p>
        </w:tc>
        <w:tc>
          <w:tcPr>
            <w:tcW w:type="dxa" w:w="1080"/>
          </w:tcPr>
          <w:p>
            <w:r>
              <w:rPr>
                <w:rFonts w:ascii="Calibri" w:hAnsi="Calibri"/>
                <w:sz w:val="22"/>
              </w:rPr>
              <w:t>$7,899M</w:t>
            </w:r>
          </w:p>
        </w:tc>
        <w:tc>
          <w:tcPr>
            <w:tcW w:type="dxa" w:w="1080"/>
          </w:tcPr>
          <w:p>
            <w:r>
              <w:rPr>
                <w:rFonts w:ascii="Calibri" w:hAnsi="Calibri"/>
                <w:b/>
                <w:color w:val="30A46C"/>
                <w:sz w:val="22"/>
              </w:rPr>
              <w:t>+19.9%</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Midstream Adj. EBITDA (Q2 2026)</w:t>
            </w:r>
          </w:p>
        </w:tc>
        <w:tc>
          <w:tcPr>
            <w:tcW w:type="dxa" w:w="1080"/>
          </w:tcPr>
          <w:p>
            <w:r>
              <w:rPr>
                <w:rFonts w:ascii="Calibri" w:hAnsi="Calibri"/>
                <w:sz w:val="22"/>
              </w:rPr>
              <w:t>$999M</w:t>
            </w:r>
          </w:p>
        </w:tc>
        <w:tc>
          <w:tcPr>
            <w:tcW w:type="dxa" w:w="1080"/>
          </w:tcPr>
          <w:p>
            <w:r>
              <w:rPr>
                <w:rFonts w:ascii="Calibri" w:hAnsi="Calibri"/>
                <w:sz w:val="22"/>
              </w:rPr>
              <w:t>$998M</w:t>
            </w:r>
          </w:p>
        </w:tc>
        <w:tc>
          <w:tcPr>
            <w:tcW w:type="dxa" w:w="1080"/>
          </w:tcPr>
          <w:p>
            <w:r>
              <w:rPr>
                <w:rFonts w:ascii="Calibri" w:hAnsi="Calibri"/>
                <w:sz w:val="22"/>
              </w:rPr>
              <w:t>-0.1%</w:t>
            </w:r>
          </w:p>
        </w:tc>
        <w:tc>
          <w:tcPr>
            <w:tcW w:type="dxa" w:w="1080"/>
          </w:tcPr>
          <w:p>
            <w:r>
              <w:rPr>
                <w:rFonts w:ascii="Calibri" w:hAnsi="Calibri"/>
                <w:sz w:val="22"/>
              </w:rPr>
              <w:t>$4.5B run rate by YE 2027</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Midstream Adj. EBITDA (FY2026)</w:t>
            </w:r>
          </w:p>
        </w:tc>
        <w:tc>
          <w:tcPr>
            <w:tcW w:type="dxa" w:w="1080"/>
          </w:tcPr>
          <w:p>
            <w:r>
              <w:rPr>
                <w:rFonts w:ascii="Calibri" w:hAnsi="Calibri"/>
                <w:sz w:val="22"/>
              </w:rPr>
              <w:t>$3,925M</w:t>
            </w:r>
          </w:p>
        </w:tc>
        <w:tc>
          <w:tcPr>
            <w:tcW w:type="dxa" w:w="1080"/>
          </w:tcPr>
          <w:p>
            <w:r>
              <w:rPr>
                <w:rFonts w:ascii="Calibri" w:hAnsi="Calibri"/>
                <w:sz w:val="22"/>
              </w:rPr>
              <w:t>$3,909M</w:t>
            </w:r>
          </w:p>
        </w:tc>
        <w:tc>
          <w:tcPr>
            <w:tcW w:type="dxa" w:w="1080"/>
          </w:tcPr>
          <w:p>
            <w:r>
              <w:rPr>
                <w:rFonts w:ascii="Calibri" w:hAnsi="Calibri"/>
                <w:sz w:val="22"/>
              </w:rPr>
              <w:t>-0.4%</w:t>
            </w:r>
          </w:p>
        </w:tc>
        <w:tc>
          <w:tcPr>
            <w:tcW w:type="dxa" w:w="1080"/>
          </w:tcPr>
          <w:p>
            <w:r>
              <w:rPr>
                <w:rFonts w:ascii="Calibri" w:hAnsi="Calibri"/>
                <w:sz w:val="22"/>
              </w:rPr>
              <w:t>$4.5B run rate by YE 2027</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revision trajectory tells a clear story: refining-driven estimates have surged +27–30% since the Q1 print, entirely macro-driven by the Iran conflict and Hormuz closure, while midstream estimates have been essentially flat — consistent with the stable, fee-based nature of that business. PSX does not provide specific EPS or segment EBITDA guidance, so there is no formal guidance vs. consensus gap to measure; the relevant comparison is the magnitude of estimate revision vs. the macro environment.</w:t>
      </w:r>
    </w:p>
    <w:p>
      <w:r>
        <w:rPr>
          <w:rFonts w:ascii="Calibri" w:hAnsi="Calibri"/>
          <w:color w:val="525866"/>
          <w:sz w:val="22"/>
        </w:rPr>
        <w:t>Source: Visible Alpha Consensus and Actuals Data (all estimate figures).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PSX has outperformed XLE by ~+15pp since the Q1 print, driven almost entirely by </w:t>
      </w:r>
      <w:r>
        <w:rPr>
          <w:rFonts w:ascii="Calibri" w:hAnsi="Calibri"/>
          <w:b/>
          <w:color w:val="525866"/>
          <w:sz w:val="22"/>
        </w:rPr>
        <w:t>earnings estimate upgrades (+27% on Q2 EPS, +28% on FY2026 EPS)</w:t>
      </w:r>
      <w:r>
        <w:rPr>
          <w:rFonts w:ascii="Calibri" w:hAnsi="Calibri"/>
          <w:color w:val="525866"/>
          <w:sz w:val="22"/>
        </w:rPr>
        <w:t xml:space="preserve"> rather than multiple expansion — NTM EV/EBITDA has actually compressed from ~8.4x to 7.4x over six months, suggesting the re-rating is durable and not sentiment-driven.</w:t>
      </w:r>
    </w:p>
    <w:p>
      <w:r>
        <w:rPr>
          <w:rFonts w:ascii="Calibri" w:hAnsi="Calibri"/>
          <w:color w:val="525866"/>
          <w:sz w:val="22"/>
        </w:rPr>
        <w:t>Since the Q1 2026 earnings date (April 29, 2026), PSX has risen approximately +22% (from $173.49 to ~$211.68 as of July 31, 2026), significantly outperforming XLE (+0.9%, from $59.03 to $59.55) and the S&amp;P 500 (+5.0%, from $711.58 to $747.03). The stock’s outperformance vs. XLE reflects PSX’s higher operating leverage to refining margins relative to the broader energy ETF, which is weighted toward E&amp;P names. Key inflection points: (1) early May — stock pulled back ~3% as oil prices dipped on Iran ceasefire hopes; (2) mid-June — stock dipped to ~$166 as crude prices fell on Hormuz reopening speculation; (3) July 8–17 — sharp re-acceleration (+24% in 10 trading days) as VLO and MPC pre-announced strong results and oil prices re-escalated on renewed U.S.-Iran strikes; (4) late July — modest consolidation as crude pulled back on ceasefire pause. The stock’s 12-month performance of +72% has been driven almost entirely by earnings growth, with NTM P/E compressing from ~15.9x to ~9.8x over the same period, confirming that the move is fundamentals-driven rather than multiple expansion.</w:t>
      </w:r>
    </w:p>
    <w:p>
      <w:r>
        <w:rPr>
          <w:rFonts w:ascii="Calibri" w:hAnsi="Calibri"/>
          <w:color w:val="525866"/>
          <w:sz w:val="22"/>
        </w:rPr>
        <w:t>Sector ETF used: XLE (Energy Select Sector SPDR Fund) — appropriate for PSX as a diversified downstream energy company. Stock price data sourced from Yahoo Finance.</w:t>
      </w:r>
    </w:p>
    <w:p>
      <w:pPr>
        <w:pStyle w:val="Heading3"/>
      </w:pPr>
      <w:r>
        <w:rPr>
          <w:rFonts w:ascii="Calibri" w:hAnsi="Calibri"/>
          <w:b/>
          <w:color w:val="3B4259"/>
          <w:sz w:val="24"/>
        </w:rPr>
        <w:t>PSX vs. XLE vs. S&amp;P 500 — Indexed Performance Since Q1 2026 Earnings (Apr 29,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PSX (Indexed)</w:t>
            </w:r>
          </w:p>
        </w:tc>
        <w:tc>
          <w:tcPr>
            <w:tcW w:type="dxa" w:w="2160"/>
            <w:shd w:val="clear" w:color="auto" w:fill="3B4259"/>
          </w:tcPr>
          <w:p>
            <w:r>
              <w:rPr>
                <w:rFonts w:ascii="Calibri" w:hAnsi="Calibri"/>
                <w:b/>
                <w:color w:val="FFFFFF"/>
                <w:sz w:val="22"/>
              </w:rPr>
              <w:t>XLE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7, 2026</w:t>
            </w:r>
          </w:p>
        </w:tc>
        <w:tc>
          <w:tcPr>
            <w:tcW w:type="dxa" w:w="2160"/>
          </w:tcPr>
          <w:p>
            <w:r>
              <w:rPr>
                <w:rFonts w:ascii="Calibri" w:hAnsi="Calibri"/>
                <w:sz w:val="22"/>
              </w:rPr>
              <w:t>97.0</w:t>
            </w:r>
          </w:p>
        </w:tc>
        <w:tc>
          <w:tcPr>
            <w:tcW w:type="dxa" w:w="2160"/>
          </w:tcPr>
          <w:p>
            <w:r>
              <w:rPr>
                <w:rFonts w:ascii="Calibri" w:hAnsi="Calibri"/>
                <w:sz w:val="22"/>
              </w:rPr>
              <w:t>94.8</w:t>
            </w:r>
          </w:p>
        </w:tc>
        <w:tc>
          <w:tcPr>
            <w:tcW w:type="dxa" w:w="2160"/>
          </w:tcPr>
          <w:p>
            <w:r>
              <w:rPr>
                <w:rFonts w:ascii="Calibri" w:hAnsi="Calibri"/>
                <w:sz w:val="22"/>
              </w:rPr>
              <w:t>102.8</w:t>
            </w:r>
          </w:p>
        </w:tc>
      </w:tr>
      <w:tr>
        <w:tc>
          <w:tcPr>
            <w:tcW w:type="dxa" w:w="2160"/>
          </w:tcPr>
          <w:p>
            <w:r>
              <w:rPr>
                <w:rFonts w:ascii="Calibri" w:hAnsi="Calibri"/>
                <w:sz w:val="22"/>
              </w:rPr>
              <w:t>May 19, 2026</w:t>
            </w:r>
          </w:p>
        </w:tc>
        <w:tc>
          <w:tcPr>
            <w:tcW w:type="dxa" w:w="2160"/>
          </w:tcPr>
          <w:p>
            <w:r>
              <w:rPr>
                <w:rFonts w:ascii="Calibri" w:hAnsi="Calibri"/>
                <w:sz w:val="22"/>
              </w:rPr>
              <w:t>105.1</w:t>
            </w:r>
          </w:p>
        </w:tc>
        <w:tc>
          <w:tcPr>
            <w:tcW w:type="dxa" w:w="2160"/>
          </w:tcPr>
          <w:p>
            <w:r>
              <w:rPr>
                <w:rFonts w:ascii="Calibri" w:hAnsi="Calibri"/>
                <w:sz w:val="22"/>
              </w:rPr>
              <w:t>103.8</w:t>
            </w:r>
          </w:p>
        </w:tc>
        <w:tc>
          <w:tcPr>
            <w:tcW w:type="dxa" w:w="2160"/>
          </w:tcPr>
          <w:p>
            <w:r>
              <w:rPr>
                <w:rFonts w:ascii="Calibri" w:hAnsi="Calibri"/>
                <w:sz w:val="22"/>
              </w:rPr>
              <w:t>103.1</w:t>
            </w:r>
          </w:p>
        </w:tc>
      </w:tr>
      <w:tr>
        <w:tc>
          <w:tcPr>
            <w:tcW w:type="dxa" w:w="2160"/>
          </w:tcPr>
          <w:p>
            <w:r>
              <w:rPr>
                <w:rFonts w:ascii="Calibri" w:hAnsi="Calibri"/>
                <w:sz w:val="22"/>
              </w:rPr>
              <w:t>Jun 17, 2026 (trough)</w:t>
            </w:r>
          </w:p>
        </w:tc>
        <w:tc>
          <w:tcPr>
            <w:tcW w:type="dxa" w:w="2160"/>
          </w:tcPr>
          <w:p>
            <w:r>
              <w:rPr>
                <w:rFonts w:ascii="Calibri" w:hAnsi="Calibri"/>
                <w:sz w:val="22"/>
              </w:rPr>
              <w:t>96.4</w:t>
            </w:r>
          </w:p>
        </w:tc>
        <w:tc>
          <w:tcPr>
            <w:tcW w:type="dxa" w:w="2160"/>
          </w:tcPr>
          <w:p>
            <w:r>
              <w:rPr>
                <w:rFonts w:ascii="Calibri" w:hAnsi="Calibri"/>
                <w:sz w:val="22"/>
              </w:rPr>
              <w:t>92.6</w:t>
            </w:r>
          </w:p>
        </w:tc>
        <w:tc>
          <w:tcPr>
            <w:tcW w:type="dxa" w:w="2160"/>
          </w:tcPr>
          <w:p>
            <w:r>
              <w:rPr>
                <w:rFonts w:ascii="Calibri" w:hAnsi="Calibri"/>
                <w:sz w:val="22"/>
              </w:rPr>
              <w:t>104.1</w:t>
            </w:r>
          </w:p>
        </w:tc>
      </w:tr>
      <w:tr>
        <w:tc>
          <w:tcPr>
            <w:tcW w:type="dxa" w:w="2160"/>
          </w:tcPr>
          <w:p>
            <w:r>
              <w:rPr>
                <w:rFonts w:ascii="Calibri" w:hAnsi="Calibri"/>
                <w:sz w:val="22"/>
              </w:rPr>
              <w:t>Jul 17, 2026</w:t>
            </w:r>
          </w:p>
        </w:tc>
        <w:tc>
          <w:tcPr>
            <w:tcW w:type="dxa" w:w="2160"/>
          </w:tcPr>
          <w:p>
            <w:r>
              <w:rPr>
                <w:rFonts w:ascii="Calibri" w:hAnsi="Calibri"/>
                <w:sz w:val="22"/>
              </w:rPr>
              <w:t>119.2</w:t>
            </w:r>
          </w:p>
        </w:tc>
        <w:tc>
          <w:tcPr>
            <w:tcW w:type="dxa" w:w="2160"/>
          </w:tcPr>
          <w:p>
            <w:r>
              <w:rPr>
                <w:rFonts w:ascii="Calibri" w:hAnsi="Calibri"/>
                <w:sz w:val="22"/>
              </w:rPr>
              <w:t>97.7</w:t>
            </w:r>
          </w:p>
        </w:tc>
        <w:tc>
          <w:tcPr>
            <w:tcW w:type="dxa" w:w="2160"/>
          </w:tcPr>
          <w:p>
            <w:r>
              <w:rPr>
                <w:rFonts w:ascii="Calibri" w:hAnsi="Calibri"/>
                <w:sz w:val="22"/>
              </w:rPr>
              <w:t>104.5</w:t>
            </w:r>
          </w:p>
        </w:tc>
      </w:tr>
      <w:tr>
        <w:tc>
          <w:tcPr>
            <w:tcW w:type="dxa" w:w="2160"/>
          </w:tcPr>
          <w:p>
            <w:r>
              <w:rPr>
                <w:rFonts w:ascii="Calibri" w:hAnsi="Calibri"/>
                <w:sz w:val="22"/>
              </w:rPr>
              <w:t>Jul 31, 2026</w:t>
            </w:r>
          </w:p>
        </w:tc>
        <w:tc>
          <w:tcPr>
            <w:tcW w:type="dxa" w:w="2160"/>
          </w:tcPr>
          <w:p>
            <w:r>
              <w:rPr>
                <w:rFonts w:ascii="Calibri" w:hAnsi="Calibri"/>
                <w:sz w:val="22"/>
              </w:rPr>
              <w:t>122.0</w:t>
            </w:r>
          </w:p>
        </w:tc>
        <w:tc>
          <w:tcPr>
            <w:tcW w:type="dxa" w:w="2160"/>
          </w:tcPr>
          <w:p>
            <w:r>
              <w:rPr>
                <w:rFonts w:ascii="Calibri" w:hAnsi="Calibri"/>
                <w:sz w:val="22"/>
              </w:rPr>
              <w:t>100.9</w:t>
            </w:r>
          </w:p>
        </w:tc>
        <w:tc>
          <w:tcPr>
            <w:tcW w:type="dxa" w:w="2160"/>
          </w:tcPr>
          <w:p>
            <w:r>
              <w:rPr>
                <w:rFonts w:ascii="Calibri" w:hAnsi="Calibri"/>
                <w:sz w:val="22"/>
              </w:rPr>
              <w:t>105.0</w:t>
            </w:r>
          </w:p>
        </w:tc>
      </w:tr>
      <w:tr>
        <w:tc>
          <w:tcPr>
            <w:tcW w:type="dxa" w:w="2160"/>
          </w:tcPr>
          <w:p>
            <w:r>
              <w:rPr>
                <w:rFonts w:ascii="Calibri" w:hAnsi="Calibri"/>
                <w:sz w:val="22"/>
              </w:rPr>
              <w:t>Aug 4, 2026 (latest)</w:t>
            </w:r>
          </w:p>
        </w:tc>
        <w:tc>
          <w:tcPr>
            <w:tcW w:type="dxa" w:w="2160"/>
          </w:tcPr>
          <w:p>
            <w:r>
              <w:rPr>
                <w:rFonts w:ascii="Calibri" w:hAnsi="Calibri"/>
                <w:sz w:val="22"/>
              </w:rPr>
              <w:t>118.8</w:t>
            </w:r>
          </w:p>
        </w:tc>
        <w:tc>
          <w:tcPr>
            <w:tcW w:type="dxa" w:w="2160"/>
          </w:tcPr>
          <w:p>
            <w:r>
              <w:rPr>
                <w:rFonts w:ascii="Calibri" w:hAnsi="Calibri"/>
                <w:sz w:val="22"/>
              </w:rPr>
              <w:t>99.6</w:t>
            </w:r>
          </w:p>
        </w:tc>
        <w:tc>
          <w:tcPr>
            <w:tcW w:type="dxa" w:w="2160"/>
          </w:tcPr>
          <w:p>
            <w:r>
              <w:rPr>
                <w:rFonts w:ascii="Calibri" w:hAnsi="Calibri"/>
                <w:sz w:val="22"/>
              </w:rPr>
              <w:t>106.5</w:t>
            </w:r>
          </w:p>
        </w:tc>
      </w:tr>
    </w:tbl>
    <w:p>
      <w:r>
        <w:rPr>
          <w:rFonts w:ascii="Calibri" w:hAnsi="Calibri"/>
          <w:color w:val="525866"/>
          <w:sz w:val="22"/>
        </w:rPr>
        <w:t>Note: Indexed to 100 at April 29, 2026 close. PSX: $173.49; XLE: $59.03; SPY: $711.58. Source: Yahoo Finance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extraordinary refining margin environment driven by the U.S.-Iran war and Strait of Hormuz closure</w:t>
      </w:r>
      <w:r>
        <w:rPr>
          <w:rFonts w:ascii="Calibri" w:hAnsi="Calibri"/>
          <w:color w:val="525866"/>
          <w:sz w:val="22"/>
        </w:rPr>
        <w:t>, which has been the dominant driver of estimate revisions and stock performance; the Western Gateway Pipeline FID (expected mid-to-late summer) is the most significant company-specific catalyst pending.</w:t>
      </w:r>
    </w:p>
    <w:p>
      <w:pPr>
        <w:pStyle w:val="ListBullet"/>
        <w:ind w:left="360" w:hanging="360"/>
      </w:pPr>
      <w:r>
        <w:rPr>
          <w:rFonts w:ascii="Calibri" w:hAnsi="Calibri"/>
          <w:b/>
          <w:color w:val="525866"/>
          <w:sz w:val="22"/>
        </w:rPr>
        <w:t xml:space="preserve">Aug 4, 2026 — MPC Q2 2026 Beat (Massive Read-Through): </w:t>
      </w:r>
      <w:r>
        <w:rPr>
          <w:rFonts w:ascii="Calibri" w:hAnsi="Calibri"/>
          <w:color w:val="525866"/>
          <w:sz w:val="22"/>
        </w:rPr>
        <w:t xml:space="preserve">Marathon Petroleum reported Q2 adjusted EPS of $17.73 vs. $13.73 consensus (+29% beat), with refining and marketing margin surging to $36.33/bbl from $17.58/bbl YoY. Shares rose ~2% in premarket. </w:t>
      </w:r>
    </w:p>
    <w:p>
      <w:pPr>
        <w:pStyle w:val="ListBullet"/>
        <w:ind w:left="360" w:hanging="360"/>
      </w:pPr>
      <w:r>
        <w:rPr>
          <w:rFonts w:ascii="Calibri" w:hAnsi="Calibri"/>
          <w:b/>
          <w:color w:val="525866"/>
          <w:sz w:val="22"/>
        </w:rPr>
        <w:t xml:space="preserve">Implication: </w:t>
      </w:r>
      <w:r>
        <w:rPr>
          <w:rFonts w:ascii="Calibri" w:hAnsi="Calibri"/>
          <w:color w:val="525866"/>
          <w:sz w:val="22"/>
        </w:rPr>
        <w:t>Strongest direct read-through for PSX Q2 refining margins; confirms the sector-wide margin boom was even larger than consensus modeled.</w:t>
      </w:r>
    </w:p>
    <w:p>
      <w:pPr>
        <w:pStyle w:val="ListBullet"/>
        <w:ind w:left="360" w:hanging="360"/>
      </w:pPr>
      <w:r>
        <w:rPr>
          <w:rFonts w:ascii="Calibri" w:hAnsi="Calibri"/>
          <w:b/>
          <w:color w:val="525866"/>
          <w:sz w:val="22"/>
        </w:rPr>
        <w:t xml:space="preserve">Jul 30, 2026 — VLO Q2 2026 Record Beat: </w:t>
      </w:r>
      <w:r>
        <w:rPr>
          <w:rFonts w:ascii="Calibri" w:hAnsi="Calibri"/>
          <w:color w:val="525866"/>
          <w:sz w:val="22"/>
        </w:rPr>
        <w:t xml:space="preserve">Valero reported its highest-ever Q2 profit at $12.54/share vs. $10.12 consensus (+24% beat), with refining margin/bbl nearly doubling to $23.62 from $12.35 YoY. Renewable diesel segment swung to $717M operating income from a -$79M loss. Shares rose ~3%. </w:t>
      </w:r>
    </w:p>
    <w:p>
      <w:pPr>
        <w:pStyle w:val="ListBullet"/>
        <w:ind w:left="360" w:hanging="360"/>
      </w:pPr>
      <w:r>
        <w:rPr>
          <w:rFonts w:ascii="Calibri" w:hAnsi="Calibri"/>
          <w:b/>
          <w:color w:val="525866"/>
          <w:sz w:val="22"/>
        </w:rPr>
        <w:t xml:space="preserve">Implication: </w:t>
      </w:r>
      <w:r>
        <w:rPr>
          <w:rFonts w:ascii="Calibri" w:hAnsi="Calibri"/>
          <w:color w:val="525866"/>
          <w:sz w:val="22"/>
        </w:rPr>
        <w:t>Confirms strong refining and renewable fuels tailwinds for PSX; VLO’s renewable diesel swing is particularly relevant given PSX’s Rodeo facility running above nameplate capacity.</w:t>
      </w:r>
    </w:p>
    <w:p>
      <w:pPr>
        <w:pStyle w:val="ListBullet"/>
        <w:ind w:left="360" w:hanging="360"/>
      </w:pPr>
      <w:r>
        <w:rPr>
          <w:rFonts w:ascii="Calibri" w:hAnsi="Calibri"/>
          <w:b/>
          <w:color w:val="525866"/>
          <w:sz w:val="22"/>
        </w:rPr>
        <w:t xml:space="preserve">Jul 31, 2026 — CVX Q2 2026 Beat; Record Quarterly Profit: </w:t>
      </w:r>
      <w:r>
        <w:rPr>
          <w:rFonts w:ascii="Calibri" w:hAnsi="Calibri"/>
          <w:color w:val="525866"/>
          <w:sz w:val="22"/>
        </w:rPr>
        <w:t xml:space="preserve">Chevron reported Q2 adjusted EPS of $6.06 vs. $5.65 consensus, with US refineries running at &gt;97% utilization and record US production. Net profit of $12.1B was the company’s largest quarterly profit ever. </w:t>
      </w:r>
    </w:p>
    <w:p>
      <w:pPr>
        <w:pStyle w:val="ListBullet"/>
        <w:ind w:left="360" w:hanging="360"/>
      </w:pPr>
      <w:r>
        <w:rPr>
          <w:rFonts w:ascii="Calibri" w:hAnsi="Calibri"/>
          <w:b/>
          <w:color w:val="525866"/>
          <w:sz w:val="22"/>
        </w:rPr>
        <w:t xml:space="preserve">Implication: </w:t>
      </w:r>
      <w:r>
        <w:rPr>
          <w:rFonts w:ascii="Calibri" w:hAnsi="Calibri"/>
          <w:color w:val="525866"/>
          <w:sz w:val="22"/>
        </w:rPr>
        <w:t>Confirms strong downstream and upstream environment; CVX’s record US refinery utilization is consistent with PSX’s guided low-to-mid 90s utilization.</w:t>
      </w:r>
    </w:p>
    <w:p>
      <w:pPr>
        <w:pStyle w:val="ListBullet"/>
        <w:ind w:left="360" w:hanging="360"/>
      </w:pPr>
      <w:r>
        <w:rPr>
          <w:rFonts w:ascii="Calibri" w:hAnsi="Calibri"/>
          <w:b/>
          <w:color w:val="525866"/>
          <w:sz w:val="22"/>
        </w:rPr>
        <w:t xml:space="preserve">Jul 31, 2026 — XOM Q2 2026 Results (Slight Miss on EPS): </w:t>
      </w:r>
      <w:r>
        <w:rPr>
          <w:rFonts w:ascii="Calibri" w:hAnsi="Calibri"/>
          <w:color w:val="525866"/>
          <w:sz w:val="22"/>
        </w:rPr>
        <w:t xml:space="preserve">ExxonMobil reported Q2 adjusted EPS of $3.52 vs. $3.60 consensus, with adjusted refining profit of $4.1B. CFO cited “extreme swings” in commodity prices as difficult to model. Shares fell ~1%. </w:t>
      </w:r>
    </w:p>
    <w:p>
      <w:pPr>
        <w:pStyle w:val="ListBullet"/>
        <w:ind w:left="360" w:hanging="360"/>
      </w:pPr>
      <w:r>
        <w:rPr>
          <w:rFonts w:ascii="Calibri" w:hAnsi="Calibri"/>
          <w:b/>
          <w:color w:val="525866"/>
          <w:sz w:val="22"/>
        </w:rPr>
        <w:t xml:space="preserve">Implication: </w:t>
      </w:r>
      <w:r>
        <w:rPr>
          <w:rFonts w:ascii="Calibri" w:hAnsi="Calibri"/>
          <w:color w:val="525866"/>
          <w:sz w:val="22"/>
        </w:rPr>
        <w:t>Highlights that mark-to-market and commodity volatility can create headline noise even in strong operational quarters — directly relevant to PSX’s Q2 MTM reversal narrative.</w:t>
      </w:r>
    </w:p>
    <w:p>
      <w:pPr>
        <w:pStyle w:val="ListBullet"/>
        <w:ind w:left="360" w:hanging="360"/>
      </w:pPr>
      <w:r>
        <w:rPr>
          <w:rFonts w:ascii="Calibri" w:hAnsi="Calibri"/>
          <w:b/>
          <w:color w:val="525866"/>
          <w:sz w:val="22"/>
        </w:rPr>
        <w:t xml:space="preserve">Aug 1–4, 2026 — Trump Criticizes Oil Company Profits: </w:t>
      </w:r>
      <w:r>
        <w:rPr>
          <w:rFonts w:ascii="Calibri" w:hAnsi="Calibri"/>
          <w:color w:val="525866"/>
          <w:sz w:val="22"/>
        </w:rPr>
        <w:t xml:space="preserve">President Trump publicly criticized ExxonMobil and Chevron for “making too much money” and demanded lower gasoline prices, creating political headline risk for the sector. </w:t>
      </w:r>
    </w:p>
    <w:p>
      <w:pPr>
        <w:pStyle w:val="ListBullet"/>
        <w:ind w:left="360" w:hanging="360"/>
      </w:pPr>
      <w:r>
        <w:rPr>
          <w:rFonts w:ascii="Calibri" w:hAnsi="Calibri"/>
          <w:b/>
          <w:color w:val="525866"/>
          <w:sz w:val="22"/>
        </w:rPr>
        <w:t xml:space="preserve">Implication: </w:t>
      </w:r>
      <w:r>
        <w:rPr>
          <w:rFonts w:ascii="Calibri" w:hAnsi="Calibri"/>
          <w:color w:val="525866"/>
          <w:sz w:val="22"/>
        </w:rPr>
        <w:t>Political risk to windfall profit taxes or regulatory action; PSX may face questions on pricing and shareholder returns vs. consumer relief.</w:t>
      </w:r>
    </w:p>
    <w:p>
      <w:pPr>
        <w:pStyle w:val="ListBullet"/>
        <w:ind w:left="360" w:hanging="360"/>
      </w:pPr>
      <w:r>
        <w:rPr>
          <w:rFonts w:ascii="Calibri" w:hAnsi="Calibri"/>
          <w:b/>
          <w:color w:val="525866"/>
          <w:sz w:val="22"/>
        </w:rPr>
        <w:t xml:space="preserve">Aug 4, 2026 — Iran/Oman Hormuz Deal Emerging: </w:t>
      </w:r>
      <w:r>
        <w:rPr>
          <w:rFonts w:ascii="Calibri" w:hAnsi="Calibri"/>
          <w:color w:val="525866"/>
          <w:sz w:val="22"/>
        </w:rPr>
        <w:t xml:space="preserve">Reports indicate Iran and Oman are working toward a deal to reopen the Strait of Hormuz, with ships entering through an Iranian-controlled route and exiting through an Omani-controlled route. </w:t>
      </w:r>
    </w:p>
    <w:p>
      <w:pPr>
        <w:pStyle w:val="ListBullet"/>
        <w:ind w:left="360" w:hanging="360"/>
      </w:pPr>
      <w:r>
        <w:rPr>
          <w:rFonts w:ascii="Calibri" w:hAnsi="Calibri"/>
          <w:b/>
          <w:color w:val="525866"/>
          <w:sz w:val="22"/>
        </w:rPr>
        <w:t xml:space="preserve">Implication: </w:t>
      </w:r>
      <w:r>
        <w:rPr>
          <w:rFonts w:ascii="Calibri" w:hAnsi="Calibri"/>
          <w:color w:val="525866"/>
          <w:sz w:val="22"/>
        </w:rPr>
        <w:t>Key downside risk to refining margins if Hormuz reopens and crude flows normalize; PSX management has noted the reopening process would be slow given onshore tank fullness and infrastructure uncertainty.</w:t>
      </w:r>
    </w:p>
    <w:p>
      <w:pPr>
        <w:pStyle w:val="ListBullet"/>
        <w:ind w:left="360" w:hanging="360"/>
      </w:pPr>
      <w:r>
        <w:rPr>
          <w:rFonts w:ascii="Calibri" w:hAnsi="Calibri"/>
          <w:b/>
          <w:color w:val="525866"/>
          <w:sz w:val="22"/>
        </w:rPr>
        <w:t xml:space="preserve">Aug 3, 2026 — KMI Prices $1.75B Senior Notes Offering: </w:t>
      </w:r>
      <w:r>
        <w:rPr>
          <w:rFonts w:ascii="Calibri" w:hAnsi="Calibri"/>
          <w:color w:val="525866"/>
          <w:sz w:val="22"/>
        </w:rPr>
        <w:t xml:space="preserve">Kinder Morgan, PSX’s JV partner on the Western Gateway Pipeline, priced a $1.75B senior notes offering. </w:t>
      </w:r>
    </w:p>
    <w:p>
      <w:pPr>
        <w:pStyle w:val="ListBullet"/>
        <w:ind w:left="360" w:hanging="360"/>
      </w:pPr>
      <w:r>
        <w:rPr>
          <w:rFonts w:ascii="Calibri" w:hAnsi="Calibri"/>
          <w:b/>
          <w:color w:val="525866"/>
          <w:sz w:val="22"/>
        </w:rPr>
        <w:t xml:space="preserve">Implication: </w:t>
      </w:r>
      <w:r>
        <w:rPr>
          <w:rFonts w:ascii="Calibri" w:hAnsi="Calibri"/>
          <w:color w:val="525866"/>
          <w:sz w:val="22"/>
        </w:rPr>
        <w:t>KMI’s capital markets activity may be related to funding the Western Gateway JV; FID announcement from PSX could be imminent.</w:t>
      </w:r>
    </w:p>
    <w:p>
      <w:pPr>
        <w:pStyle w:val="ListBullet"/>
        <w:ind w:left="360" w:hanging="360"/>
      </w:pPr>
      <w:r>
        <w:rPr>
          <w:rFonts w:ascii="Calibri" w:hAnsi="Calibri"/>
          <w:b/>
          <w:color w:val="525866"/>
          <w:sz w:val="22"/>
        </w:rPr>
        <w:t xml:space="preserve">Aug 3, 2026 — ONEOK Raises 2026 Guidance After Q2 Beat: </w:t>
      </w:r>
      <w:r>
        <w:rPr>
          <w:rFonts w:ascii="Calibri" w:hAnsi="Calibri"/>
          <w:color w:val="525866"/>
          <w:sz w:val="22"/>
        </w:rPr>
        <w:t xml:space="preserve">ONEOK boosted 2026 financial guidance following strong Q2 results, citing higher natural gas volumes. </w:t>
      </w:r>
    </w:p>
    <w:p>
      <w:pPr>
        <w:pStyle w:val="ListBullet"/>
        <w:ind w:left="360" w:hanging="360"/>
      </w:pPr>
      <w:r>
        <w:rPr>
          <w:rFonts w:ascii="Calibri" w:hAnsi="Calibri"/>
          <w:b/>
          <w:color w:val="525866"/>
          <w:sz w:val="22"/>
        </w:rPr>
        <w:t xml:space="preserve">Implication: </w:t>
      </w:r>
      <w:r>
        <w:rPr>
          <w:rFonts w:ascii="Calibri" w:hAnsi="Calibri"/>
          <w:color w:val="525866"/>
          <w:sz w:val="22"/>
        </w:rPr>
        <w:t>Positive read-through for PSX’s midstream segment; confirms strong NGL and gas volumes in the Mid-Continent.</w:t>
      </w:r>
    </w:p>
    <w:p>
      <w:pPr>
        <w:pStyle w:val="ListBullet"/>
        <w:ind w:left="360" w:hanging="360"/>
      </w:pPr>
      <w:r>
        <w:rPr>
          <w:rFonts w:ascii="Calibri" w:hAnsi="Calibri"/>
          <w:b/>
          <w:color w:val="525866"/>
          <w:sz w:val="22"/>
        </w:rPr>
        <w:t xml:space="preserve">May 2026 — Zeus Gas Plant &amp; Coastal Bend Fractionator 3 FID: </w:t>
      </w:r>
      <w:r>
        <w:rPr>
          <w:rFonts w:ascii="Calibri" w:hAnsi="Calibri"/>
          <w:color w:val="525866"/>
          <w:sz w:val="22"/>
        </w:rPr>
        <w:t xml:space="preserve">PSX took Final Investment Decision on the Zeus Gas Plant (Permian Basin) and a third Coastal Bend Fractionator (Corpus Christi), both expected online in 2028. </w:t>
      </w:r>
    </w:p>
    <w:p>
      <w:pPr>
        <w:pStyle w:val="ListBullet"/>
        <w:ind w:left="360" w:hanging="360"/>
      </w:pPr>
      <w:r>
        <w:rPr>
          <w:rFonts w:ascii="Calibri" w:hAnsi="Calibri"/>
          <w:b/>
          <w:color w:val="525866"/>
          <w:sz w:val="22"/>
        </w:rPr>
        <w:t xml:space="preserve">Implication: </w:t>
      </w:r>
      <w:r>
        <w:rPr>
          <w:rFonts w:ascii="Calibri" w:hAnsi="Calibri"/>
          <w:color w:val="525866"/>
          <w:sz w:val="22"/>
        </w:rPr>
        <w:t>Extends midstream organic growth runway beyond the $4.5B EBITDA target; demonstrates capital discipline with high-return organic projects.</w:t>
      </w:r>
    </w:p>
    <w:p>
      <w:pPr>
        <w:pStyle w:val="ListBullet"/>
        <w:ind w:left="360" w:hanging="360"/>
      </w:pPr>
      <w:r>
        <w:rPr>
          <w:rFonts w:ascii="Calibri" w:hAnsi="Calibri"/>
          <w:b/>
          <w:color w:val="525866"/>
          <w:sz w:val="22"/>
        </w:rPr>
        <w:t xml:space="preserve">Apr 28, 2026 — Lindsey Oil Refinery Acquisition Completed: </w:t>
      </w:r>
      <w:r>
        <w:rPr>
          <w:rFonts w:ascii="Calibri" w:hAnsi="Calibri"/>
          <w:color w:val="525866"/>
          <w:sz w:val="22"/>
        </w:rPr>
        <w:t xml:space="preserve">PSX completed the acquisition of Lindsey Oil Refinery and logistics assets in the UK, to be integrated into the Humber Refinery operations. </w:t>
      </w:r>
    </w:p>
    <w:p>
      <w:pPr>
        <w:pStyle w:val="ListBullet"/>
        <w:ind w:left="360" w:hanging="360"/>
      </w:pPr>
      <w:r>
        <w:rPr>
          <w:rFonts w:ascii="Calibri" w:hAnsi="Calibri"/>
          <w:b/>
          <w:color w:val="525866"/>
          <w:sz w:val="22"/>
        </w:rPr>
        <w:t xml:space="preserve">Implication: </w:t>
      </w:r>
      <w:r>
        <w:rPr>
          <w:rFonts w:ascii="Calibri" w:hAnsi="Calibri"/>
          <w:color w:val="525866"/>
          <w:sz w:val="22"/>
        </w:rPr>
        <w:t>Enhances UK integrated business; modest near-term earnings contribution but strategically important for Atlantic Basin positioning.</w:t>
      </w:r>
    </w:p>
    <w:p>
      <w:r>
        <w:br w:type="page"/>
      </w:r>
    </w:p>
    <w:p>
      <w:pPr>
        <w:pStyle w:val="Heading2"/>
      </w:pPr>
      <w:r>
        <w:rPr>
          <w:rFonts w:ascii="Calibri" w:hAnsi="Calibri"/>
          <w:b/>
          <w:color w:val="3B4259"/>
          <w:sz w:val="28"/>
        </w:rPr>
        <w:t>7. Peer Commentaries / Read-Throughs</w:t>
      </w:r>
    </w:p>
    <w:p>
      <w:r>
        <w:rPr>
          <w:rFonts w:ascii="Calibri" w:hAnsi="Calibri"/>
          <w:b/>
          <w:color w:val="525866"/>
          <w:sz w:val="22"/>
        </w:rPr>
        <w:t xml:space="preserve">Key Takeaway: </w:t>
      </w:r>
      <w:r>
        <w:rPr>
          <w:rFonts w:ascii="Calibri" w:hAnsi="Calibri"/>
          <w:color w:val="525866"/>
          <w:sz w:val="22"/>
        </w:rPr>
        <w:t xml:space="preserve">Peer commentary from Q2 2026 earnings calls (July–August 2026) is uniformly bullish on the refining macro outlook, with </w:t>
      </w:r>
      <w:r>
        <w:rPr>
          <w:rFonts w:ascii="Calibri" w:hAnsi="Calibri"/>
          <w:b/>
          <w:color w:val="525866"/>
          <w:sz w:val="22"/>
        </w:rPr>
        <w:t>VLO and MPC both flagging that Q3 2026 margins and capture rates look stronger than Q2</w:t>
      </w:r>
      <w:r>
        <w:rPr>
          <w:rFonts w:ascii="Calibri" w:hAnsi="Calibri"/>
          <w:color w:val="525866"/>
          <w:sz w:val="22"/>
        </w:rPr>
        <w:t xml:space="preserve"> — a direct positive read-through for PSX’s Q2 print and forward guidance.</w:t>
      </w:r>
    </w:p>
    <w:p>
      <w:r>
        <w:rPr>
          <w:rFonts w:ascii="Calibri" w:hAnsi="Calibri"/>
          <w:color w:val="525866"/>
          <w:sz w:val="22"/>
        </w:rPr>
        <w:t>Note: Only commentary from the last 60 days (June 5 – August 4, 2026) that explicitly concerns Q2 2026 results or the Q3 2026 / forward outlook is included below. Historical Q1 2026 result commentary from peers is excluded.</w:t>
      </w:r>
    </w:p>
    <w:p>
      <w:pPr>
        <w:pStyle w:val="Heading3"/>
      </w:pPr>
      <w:r>
        <w:rPr>
          <w:rFonts w:ascii="Calibri" w:hAnsi="Calibri"/>
          <w:b/>
          <w:color w:val="3B4259"/>
          <w:sz w:val="24"/>
        </w:rPr>
        <w:t>Valero Energy (VLO) — Q2 2026 Earnings Call, July 30, 2026</w:t>
      </w:r>
    </w:p>
    <w:p>
      <w:pPr>
        <w:pStyle w:val="ListBullet"/>
        <w:ind w:left="360" w:hanging="360"/>
      </w:pPr>
      <w:r>
        <w:rPr>
          <w:rFonts w:ascii="Calibri" w:hAnsi="Calibri"/>
          <w:b/>
          <w:color w:val="525866"/>
          <w:sz w:val="22"/>
        </w:rPr>
        <w:t xml:space="preserve">Q3 2026 Margins Stronger Than Q2: </w:t>
      </w:r>
      <w:r>
        <w:rPr>
          <w:rFonts w:ascii="Calibri" w:hAnsi="Calibri"/>
          <w:color w:val="525866"/>
          <w:sz w:val="22"/>
        </w:rPr>
        <w:t xml:space="preserve">VLO management stated that “both margins and capture rates look constructive relative to the second quarter” early in Q3, with the margin environment “thus far stronger than what we saw in the second quarter.” </w:t>
      </w:r>
    </w:p>
    <w:p>
      <w:pPr>
        <w:pStyle w:val="ListBullet"/>
        <w:ind w:left="360" w:hanging="360"/>
      </w:pPr>
      <w:r>
        <w:rPr>
          <w:rFonts w:ascii="Calibri" w:hAnsi="Calibri"/>
          <w:b/>
          <w:color w:val="525866"/>
          <w:sz w:val="22"/>
        </w:rPr>
        <w:t xml:space="preserve">PSX Read-Through: </w:t>
      </w:r>
      <w:r>
        <w:rPr>
          <w:rFonts w:ascii="Calibri" w:hAnsi="Calibri"/>
          <w:color w:val="525866"/>
          <w:sz w:val="22"/>
        </w:rPr>
        <w:t>Directly positive for PSX’s Q3 outlook; if Q3 is already tracking above Q2, PSX’s Q2 beat may be followed by an even stronger Q3.</w:t>
      </w:r>
    </w:p>
    <w:p>
      <w:pPr>
        <w:pStyle w:val="ListBullet"/>
        <w:ind w:left="360" w:hanging="360"/>
      </w:pPr>
      <w:r>
        <w:rPr>
          <w:rFonts w:ascii="Calibri" w:hAnsi="Calibri"/>
          <w:b/>
          <w:color w:val="525866"/>
          <w:sz w:val="22"/>
        </w:rPr>
        <w:t xml:space="preserve">Structurally Higher Mid-Cycle Margins: </w:t>
      </w:r>
      <w:r>
        <w:rPr>
          <w:rFonts w:ascii="Calibri" w:hAnsi="Calibri"/>
          <w:color w:val="525866"/>
          <w:sz w:val="22"/>
        </w:rPr>
        <w:t xml:space="preserve">VLO expressed a “much more bullish view of a future mid-cycle than what you would calculate using historic margins,” citing hydroskimming margins setting crack spreads and rising carbon credit costs creating a “higher floor on refinery cracks.” </w:t>
      </w:r>
    </w:p>
    <w:p>
      <w:pPr>
        <w:pStyle w:val="ListBullet"/>
        <w:ind w:left="360" w:hanging="360"/>
      </w:pPr>
      <w:r>
        <w:rPr>
          <w:rFonts w:ascii="Calibri" w:hAnsi="Calibri"/>
          <w:b/>
          <w:color w:val="525866"/>
          <w:sz w:val="22"/>
        </w:rPr>
        <w:t xml:space="preserve">PSX Read-Through: </w:t>
      </w:r>
      <w:r>
        <w:rPr>
          <w:rFonts w:ascii="Calibri" w:hAnsi="Calibri"/>
          <w:color w:val="525866"/>
          <w:sz w:val="22"/>
        </w:rPr>
        <w:t>Supports PSX management’s view that the current margin environment “will persist for a considerable amount of time” and is “more than just a few months phenomenon.”</w:t>
      </w:r>
    </w:p>
    <w:p>
      <w:pPr>
        <w:pStyle w:val="ListBullet"/>
        <w:ind w:left="360" w:hanging="360"/>
      </w:pPr>
      <w:r>
        <w:rPr>
          <w:rFonts w:ascii="Calibri" w:hAnsi="Calibri"/>
          <w:b/>
          <w:color w:val="525866"/>
          <w:sz w:val="22"/>
        </w:rPr>
        <w:t xml:space="preserve">Global Inventories Below 5-Year Average Through 2027: </w:t>
      </w:r>
      <w:r>
        <w:rPr>
          <w:rFonts w:ascii="Calibri" w:hAnsi="Calibri"/>
          <w:color w:val="525866"/>
          <w:sz w:val="22"/>
        </w:rPr>
        <w:t xml:space="preserve">VLO cited consultant data showing global inventories remain below the 5-year average range through 2027 even if current conflicts ended, with some Middle East refining capacity sustaining damage that “will take a longer time to come back on.” </w:t>
      </w:r>
    </w:p>
    <w:p>
      <w:pPr>
        <w:pStyle w:val="ListBullet"/>
        <w:ind w:left="360" w:hanging="360"/>
      </w:pPr>
      <w:r>
        <w:rPr>
          <w:rFonts w:ascii="Calibri" w:hAnsi="Calibri"/>
          <w:b/>
          <w:color w:val="525866"/>
          <w:sz w:val="22"/>
        </w:rPr>
        <w:t xml:space="preserve">PSX Read-Through: </w:t>
      </w:r>
      <w:r>
        <w:rPr>
          <w:rFonts w:ascii="Calibri" w:hAnsi="Calibri"/>
          <w:color w:val="525866"/>
          <w:sz w:val="22"/>
        </w:rPr>
        <w:t>Validates PSX’s bullish multi-quarter margin outlook; tight inventories support sustained crack spreads.</w:t>
      </w:r>
    </w:p>
    <w:p>
      <w:pPr>
        <w:pStyle w:val="ListBullet"/>
        <w:ind w:left="360" w:hanging="360"/>
      </w:pPr>
      <w:r>
        <w:rPr>
          <w:rFonts w:ascii="Calibri" w:hAnsi="Calibri"/>
          <w:b/>
          <w:color w:val="525866"/>
          <w:sz w:val="22"/>
        </w:rPr>
        <w:t xml:space="preserve">Russian Refining Capacity Worsening: </w:t>
      </w:r>
      <w:r>
        <w:rPr>
          <w:rFonts w:ascii="Calibri" w:hAnsi="Calibri"/>
          <w:color w:val="525866"/>
          <w:sz w:val="22"/>
        </w:rPr>
        <w:t xml:space="preserve">VLO noted approximately 1.7–1.9 million barrels/day of Russian capacity offline, with the trend from May to July “gotten progressively worse, not better” due to Ukrainian drone attacks on critical equipment. </w:t>
      </w:r>
    </w:p>
    <w:p>
      <w:pPr>
        <w:pStyle w:val="ListBullet"/>
        <w:ind w:left="360" w:hanging="360"/>
      </w:pPr>
      <w:r>
        <w:rPr>
          <w:rFonts w:ascii="Calibri" w:hAnsi="Calibri"/>
          <w:b/>
          <w:color w:val="525866"/>
          <w:sz w:val="22"/>
        </w:rPr>
        <w:t xml:space="preserve">PSX Read-Through: </w:t>
      </w:r>
      <w:r>
        <w:rPr>
          <w:rFonts w:ascii="Calibri" w:hAnsi="Calibri"/>
          <w:color w:val="525866"/>
          <w:sz w:val="22"/>
        </w:rPr>
        <w:t>Additional structural support for global product tightness; PSX’s Atlantic Basin operations benefit from reduced Russian product exports to Europe.</w:t>
      </w:r>
    </w:p>
    <w:p>
      <w:pPr>
        <w:pStyle w:val="ListBullet"/>
        <w:ind w:left="360" w:hanging="360"/>
      </w:pPr>
      <w:r>
        <w:rPr>
          <w:rFonts w:ascii="Calibri" w:hAnsi="Calibri"/>
          <w:b/>
          <w:color w:val="525866"/>
          <w:sz w:val="22"/>
        </w:rPr>
        <w:t xml:space="preserve">Heavy Sour Crude Differentials Bullish: </w:t>
      </w:r>
      <w:r>
        <w:rPr>
          <w:rFonts w:ascii="Calibri" w:hAnsi="Calibri"/>
          <w:color w:val="525866"/>
          <w:sz w:val="22"/>
        </w:rPr>
        <w:t xml:space="preserve">VLO expressed a “much more bullish outlook on crude quality discounts going forward compared to history especially for heavy sour crude,” with Venezuelan heavy crude processing expected to hit record levels. </w:t>
      </w:r>
    </w:p>
    <w:p>
      <w:pPr>
        <w:pStyle w:val="ListBullet"/>
        <w:ind w:left="360" w:hanging="360"/>
      </w:pPr>
      <w:r>
        <w:rPr>
          <w:rFonts w:ascii="Calibri" w:hAnsi="Calibri"/>
          <w:b/>
          <w:color w:val="525866"/>
          <w:sz w:val="22"/>
        </w:rPr>
        <w:t xml:space="preserve">PSX Read-Through: </w:t>
      </w:r>
      <w:r>
        <w:rPr>
          <w:rFonts w:ascii="Calibri" w:hAnsi="Calibri"/>
          <w:color w:val="525866"/>
          <w:sz w:val="22"/>
        </w:rPr>
        <w:t>Directly positive for PSX’s WCS-exposed Mid-Continent and Gulf Coast operations; PSX has ~$140M earnings sensitivity per $1 of WCS widening.</w:t>
      </w:r>
    </w:p>
    <w:p>
      <w:pPr>
        <w:pStyle w:val="ListBullet"/>
        <w:ind w:left="360" w:hanging="360"/>
      </w:pPr>
      <w:r>
        <w:rPr>
          <w:rFonts w:ascii="Calibri" w:hAnsi="Calibri"/>
          <w:b/>
          <w:color w:val="525866"/>
          <w:sz w:val="22"/>
        </w:rPr>
        <w:t xml:space="preserve">Renewable Diesel Margins Favorable Through 2026–2027: </w:t>
      </w:r>
      <w:r>
        <w:rPr>
          <w:rFonts w:ascii="Calibri" w:hAnsi="Calibri"/>
          <w:color w:val="525866"/>
          <w:sz w:val="22"/>
        </w:rPr>
        <w:t xml:space="preserve">VLO expects D4 RIN values to remain high, with the RIN market “short” and the bank expected to be drawn down by end-2026 or mid-2027, keeping D4 RINs structurally elevated. </w:t>
      </w:r>
    </w:p>
    <w:p>
      <w:pPr>
        <w:pStyle w:val="ListBullet"/>
        <w:ind w:left="360" w:hanging="360"/>
      </w:pPr>
      <w:r>
        <w:rPr>
          <w:rFonts w:ascii="Calibri" w:hAnsi="Calibri"/>
          <w:b/>
          <w:color w:val="525866"/>
          <w:sz w:val="22"/>
        </w:rPr>
        <w:t xml:space="preserve">PSX Read-Through: </w:t>
      </w:r>
      <w:r>
        <w:rPr>
          <w:rFonts w:ascii="Calibri" w:hAnsi="Calibri"/>
          <w:color w:val="525866"/>
          <w:sz w:val="22"/>
        </w:rPr>
        <w:t>Positive for PSX’s Rodeo renewable fuels facility, which is running above nameplate capacity with RIN values more than double 2025 levels.</w:t>
      </w:r>
    </w:p>
    <w:p>
      <w:pPr>
        <w:pStyle w:val="ListBullet"/>
        <w:ind w:left="360" w:hanging="360"/>
      </w:pPr>
      <w:r>
        <w:rPr>
          <w:rFonts w:ascii="Calibri" w:hAnsi="Calibri"/>
          <w:b/>
          <w:color w:val="525866"/>
          <w:sz w:val="22"/>
        </w:rPr>
        <w:t xml:space="preserve">Jones Act Waivers Critical for Product Distribution: </w:t>
      </w:r>
      <w:r>
        <w:rPr>
          <w:rFonts w:ascii="Calibri" w:hAnsi="Calibri"/>
          <w:color w:val="525866"/>
          <w:sz w:val="22"/>
        </w:rPr>
        <w:t xml:space="preserve">VLO highlighted that Jones Act waivers have been “critical to keeping PADD 1 and PADD 5 supplied” and have “maximized the U.S.’s refining capacities out of the Gulf.” </w:t>
      </w:r>
    </w:p>
    <w:p>
      <w:pPr>
        <w:pStyle w:val="ListBullet"/>
        <w:ind w:left="360" w:hanging="360"/>
      </w:pPr>
      <w:r>
        <w:rPr>
          <w:rFonts w:ascii="Calibri" w:hAnsi="Calibri"/>
          <w:b/>
          <w:color w:val="525866"/>
          <w:sz w:val="22"/>
        </w:rPr>
        <w:t xml:space="preserve">PSX Read-Through: </w:t>
      </w:r>
      <w:r>
        <w:rPr>
          <w:rFonts w:ascii="Calibri" w:hAnsi="Calibri"/>
          <w:color w:val="525866"/>
          <w:sz w:val="22"/>
        </w:rPr>
        <w:t>PSX’s commercial organization leveraged Jones Act waivers in Q1 to achieve record 138% market capture; this tailwind likely continued in Q2.</w:t>
      </w:r>
    </w:p>
    <w:p>
      <w:pPr>
        <w:pStyle w:val="Heading3"/>
      </w:pPr>
      <w:r>
        <w:rPr>
          <w:rFonts w:ascii="Calibri" w:hAnsi="Calibri"/>
          <w:b/>
          <w:color w:val="3B4259"/>
          <w:sz w:val="24"/>
        </w:rPr>
        <w:t>Marathon Petroleum (MPC) — Q2 2026 Earnings Call, August 4, 2026</w:t>
      </w:r>
    </w:p>
    <w:p>
      <w:pPr>
        <w:pStyle w:val="ListBullet"/>
        <w:ind w:left="360" w:hanging="360"/>
      </w:pPr>
      <w:r>
        <w:rPr>
          <w:rFonts w:ascii="Calibri" w:hAnsi="Calibri"/>
          <w:b/>
          <w:color w:val="525866"/>
          <w:sz w:val="22"/>
        </w:rPr>
        <w:t xml:space="preserve">Enhanced Mid-Cycle Environment Through 2027: </w:t>
      </w:r>
      <w:r>
        <w:rPr>
          <w:rFonts w:ascii="Calibri" w:hAnsi="Calibri"/>
          <w:color w:val="525866"/>
          <w:sz w:val="22"/>
        </w:rPr>
        <w:t xml:space="preserve">MPC CEO Maryann Mannen stated the company expects to remain in an “enhanced midcycle environment through the end of the year and into 2027,” remaining “constructive well into 2027.” </w:t>
      </w:r>
    </w:p>
    <w:p>
      <w:pPr>
        <w:pStyle w:val="ListBullet"/>
        <w:ind w:left="360" w:hanging="360"/>
      </w:pPr>
      <w:r>
        <w:rPr>
          <w:rFonts w:ascii="Calibri" w:hAnsi="Calibri"/>
          <w:b/>
          <w:color w:val="525866"/>
          <w:sz w:val="22"/>
        </w:rPr>
        <w:t xml:space="preserve">PSX Read-Through: </w:t>
      </w:r>
      <w:r>
        <w:rPr>
          <w:rFonts w:ascii="Calibri" w:hAnsi="Calibri"/>
          <w:color w:val="525866"/>
          <w:sz w:val="22"/>
        </w:rPr>
        <w:t>Directly validates PSX management’s multi-quarter bullish outlook; MPC’s $17.73 EPS beat (+29% vs. consensus) is the strongest direct read-through for PSX’s Q2 refining margins.</w:t>
      </w:r>
    </w:p>
    <w:p>
      <w:pPr>
        <w:pStyle w:val="ListBullet"/>
        <w:ind w:left="360" w:hanging="360"/>
      </w:pPr>
      <w:r>
        <w:rPr>
          <w:rFonts w:ascii="Calibri" w:hAnsi="Calibri"/>
          <w:b/>
          <w:color w:val="525866"/>
          <w:sz w:val="22"/>
        </w:rPr>
        <w:t xml:space="preserve">Middle East Refineries Slow to Restart: </w:t>
      </w:r>
      <w:r>
        <w:rPr>
          <w:rFonts w:ascii="Calibri" w:hAnsi="Calibri"/>
          <w:color w:val="525866"/>
          <w:sz w:val="22"/>
        </w:rPr>
        <w:t xml:space="preserve">MPC noted that “Middle East refineries have really been slow to come back online” and that “it will take quite some time for the infrastructure to be repaired,” with Ukrainian attacks adding 2.8M bbl/day of Russian offline capacity (a third of Russia’s total). </w:t>
      </w:r>
    </w:p>
    <w:p>
      <w:pPr>
        <w:pStyle w:val="ListBullet"/>
        <w:ind w:left="360" w:hanging="360"/>
      </w:pPr>
      <w:r>
        <w:rPr>
          <w:rFonts w:ascii="Calibri" w:hAnsi="Calibri"/>
          <w:b/>
          <w:color w:val="525866"/>
          <w:sz w:val="22"/>
        </w:rPr>
        <w:t xml:space="preserve">PSX Read-Through: </w:t>
      </w:r>
      <w:r>
        <w:rPr>
          <w:rFonts w:ascii="Calibri" w:hAnsi="Calibri"/>
          <w:color w:val="525866"/>
          <w:sz w:val="22"/>
        </w:rPr>
        <w:t>Sustained global refining capacity constraints support PSX’s margin outlook; PSX’s US-centric, pipeline-connected crude sourcing provides structural insulation.</w:t>
      </w:r>
    </w:p>
    <w:p>
      <w:pPr>
        <w:pStyle w:val="ListBullet"/>
        <w:ind w:left="360" w:hanging="360"/>
      </w:pPr>
      <w:r>
        <w:rPr>
          <w:rFonts w:ascii="Calibri" w:hAnsi="Calibri"/>
          <w:b/>
          <w:color w:val="525866"/>
          <w:sz w:val="22"/>
        </w:rPr>
        <w:t xml:space="preserve">WCS Differential Expected to Widen to &gt;$16/bbl by Q4: </w:t>
      </w:r>
      <w:r>
        <w:rPr>
          <w:rFonts w:ascii="Calibri" w:hAnsi="Calibri"/>
          <w:color w:val="525866"/>
          <w:sz w:val="22"/>
        </w:rPr>
        <w:t xml:space="preserve">MPC’s SVP Refining Operations noted WCS is currently at WTI -$14/bbl and expected to move “north of $16/bbl” on the forward curve by Q4 2026, representing a ~$2/bbl tailwind. </w:t>
      </w:r>
    </w:p>
    <w:p>
      <w:pPr>
        <w:pStyle w:val="ListBullet"/>
        <w:ind w:left="360" w:hanging="360"/>
      </w:pPr>
      <w:r>
        <w:rPr>
          <w:rFonts w:ascii="Calibri" w:hAnsi="Calibri"/>
          <w:b/>
          <w:color w:val="525866"/>
          <w:sz w:val="22"/>
        </w:rPr>
        <w:t xml:space="preserve">PSX Read-Through: </w:t>
      </w:r>
      <w:r>
        <w:rPr>
          <w:rFonts w:ascii="Calibri" w:hAnsi="Calibri"/>
          <w:color w:val="525866"/>
          <w:sz w:val="22"/>
        </w:rPr>
        <w:t>Directly positive for PSX; at $140M/dollar of WCS widening, a $2 move represents ~$280M of incremental annual earnings.</w:t>
      </w:r>
    </w:p>
    <w:p>
      <w:pPr>
        <w:pStyle w:val="ListBullet"/>
        <w:ind w:left="360" w:hanging="360"/>
      </w:pPr>
      <w:r>
        <w:rPr>
          <w:rFonts w:ascii="Calibri" w:hAnsi="Calibri"/>
          <w:b/>
          <w:color w:val="525866"/>
          <w:sz w:val="22"/>
        </w:rPr>
        <w:t xml:space="preserve">Q3 Turnaround Activity Elevated; West Coast Competitor Turnarounds: </w:t>
      </w:r>
      <w:r>
        <w:rPr>
          <w:rFonts w:ascii="Calibri" w:hAnsi="Calibri"/>
          <w:color w:val="525866"/>
          <w:sz w:val="22"/>
        </w:rPr>
        <w:t xml:space="preserve">MPC guided Q3 turnaround expense of ~$290M (vs. PSX’s Q2 guidance of $120–$150M), with activity focused on Gulf Coast and Mid-Con conversion units. MPC also noted “several of our competitors there will have turnarounds here in Q3” on the West Coast. </w:t>
      </w:r>
    </w:p>
    <w:p>
      <w:pPr>
        <w:pStyle w:val="ListBullet"/>
        <w:ind w:left="360" w:hanging="360"/>
      </w:pPr>
      <w:r>
        <w:rPr>
          <w:rFonts w:ascii="Calibri" w:hAnsi="Calibri"/>
          <w:b/>
          <w:color w:val="525866"/>
          <w:sz w:val="22"/>
        </w:rPr>
        <w:t xml:space="preserve">PSX Read-Through: </w:t>
      </w:r>
      <w:r>
        <w:rPr>
          <w:rFonts w:ascii="Calibri" w:hAnsi="Calibri"/>
          <w:color w:val="525866"/>
          <w:sz w:val="22"/>
        </w:rPr>
        <w:t>Competitor turnarounds on the West Coast in Q3 could benefit PSX’s Ferndale refinery and Western Gateway positioning; MPC’s heavier Q3 turnaround schedule vs. PSX’s lighter Q2 schedule is a relative advantage for PSX in Q2.</w:t>
      </w:r>
    </w:p>
    <w:p>
      <w:pPr>
        <w:pStyle w:val="ListBullet"/>
        <w:ind w:left="360" w:hanging="360"/>
      </w:pPr>
      <w:r>
        <w:rPr>
          <w:rFonts w:ascii="Calibri" w:hAnsi="Calibri"/>
          <w:b/>
          <w:color w:val="525866"/>
          <w:sz w:val="22"/>
        </w:rPr>
        <w:t xml:space="preserve">Renewable Diesel Margins Favorable; Market Remains Short: </w:t>
      </w:r>
      <w:r>
        <w:rPr>
          <w:rFonts w:ascii="Calibri" w:hAnsi="Calibri"/>
          <w:color w:val="525866"/>
          <w:sz w:val="22"/>
        </w:rPr>
        <w:t xml:space="preserve">MPC stated “renewable diesel margin continues to look favorable given the fundamental RIN balance” and “the market is short and we believe it will continue to stay short,” with recent RVO market volatility described as “probably short lived.” </w:t>
      </w:r>
    </w:p>
    <w:p>
      <w:pPr>
        <w:pStyle w:val="ListBullet"/>
        <w:ind w:left="360" w:hanging="360"/>
      </w:pPr>
      <w:r>
        <w:rPr>
          <w:rFonts w:ascii="Calibri" w:hAnsi="Calibri"/>
          <w:b/>
          <w:color w:val="525866"/>
          <w:sz w:val="22"/>
        </w:rPr>
        <w:t xml:space="preserve">PSX Read-Through: </w:t>
      </w:r>
      <w:r>
        <w:rPr>
          <w:rFonts w:ascii="Calibri" w:hAnsi="Calibri"/>
          <w:color w:val="525866"/>
          <w:sz w:val="22"/>
        </w:rPr>
        <w:t>Consistent with PSX’s Rodeo facility outlook; supports PSX’s view of material year-over-year free cash flow improvement in renewable fuels.</w:t>
      </w:r>
    </w:p>
    <w:p>
      <w:pPr>
        <w:pStyle w:val="ListBullet"/>
        <w:ind w:left="360" w:hanging="360"/>
      </w:pPr>
      <w:r>
        <w:rPr>
          <w:rFonts w:ascii="Calibri" w:hAnsi="Calibri"/>
          <w:b/>
          <w:color w:val="525866"/>
          <w:sz w:val="22"/>
        </w:rPr>
        <w:t xml:space="preserve">Midstream Growth Weighted to H2 2026: </w:t>
      </w:r>
      <w:r>
        <w:rPr>
          <w:rFonts w:ascii="Calibri" w:hAnsi="Calibri"/>
          <w:color w:val="525866"/>
          <w:sz w:val="22"/>
        </w:rPr>
        <w:t xml:space="preserve">MPC’s midstream segment (MPLX) is “on track to deliver mid single digit adjusted EBITDA growth in 2026, weighted towards the second half of the year.” </w:t>
      </w:r>
    </w:p>
    <w:p>
      <w:pPr>
        <w:pStyle w:val="ListBullet"/>
        <w:ind w:left="360" w:hanging="360"/>
      </w:pPr>
      <w:r>
        <w:rPr>
          <w:rFonts w:ascii="Calibri" w:hAnsi="Calibri"/>
          <w:b/>
          <w:color w:val="525866"/>
          <w:sz w:val="22"/>
        </w:rPr>
        <w:t xml:space="preserve">PSX Read-Through: </w:t>
      </w:r>
      <w:r>
        <w:rPr>
          <w:rFonts w:ascii="Calibri" w:hAnsi="Calibri"/>
          <w:color w:val="525866"/>
          <w:sz w:val="22"/>
        </w:rPr>
        <w:t>Consistent with PSX’s midstream trajectory; both companies benefit from strong NGL volumes and LPG export demand.</w:t>
      </w:r>
    </w:p>
    <w:p>
      <w:pPr>
        <w:pStyle w:val="Heading3"/>
      </w:pPr>
      <w:r>
        <w:rPr>
          <w:rFonts w:ascii="Calibri" w:hAnsi="Calibri"/>
          <w:b/>
          <w:color w:val="3B4259"/>
          <w:sz w:val="24"/>
        </w:rPr>
        <w:t>HF Sinclair (DINO) — Q2 2026 Earnings Release, July 28, 2026</w:t>
      </w:r>
    </w:p>
    <w:p>
      <w:pPr>
        <w:pStyle w:val="ListBullet"/>
        <w:ind w:left="360" w:hanging="360"/>
      </w:pPr>
      <w:r>
        <w:rPr>
          <w:rFonts w:ascii="Calibri" w:hAnsi="Calibri"/>
          <w:b/>
          <w:color w:val="525866"/>
          <w:sz w:val="22"/>
        </w:rPr>
        <w:t xml:space="preserve">Fundamentals to Persist in Q3: </w:t>
      </w:r>
      <w:r>
        <w:rPr>
          <w:rFonts w:ascii="Calibri" w:hAnsi="Calibri"/>
          <w:color w:val="525866"/>
          <w:sz w:val="22"/>
        </w:rPr>
        <w:t xml:space="preserve">HF Sinclair CEO Franklin Myers stated: “Looking forward, we believe the fundamentals that drove strong second quarter results across each of our business segments will persist in the third quarter, providing a positive backdrop as we move through the remainder of the year.” Strong Q2 performance was driven by “steady demand, tight supply and favorable crack spreads” in the Mid-Continent and West regions. </w:t>
      </w:r>
    </w:p>
    <w:p>
      <w:pPr>
        <w:pStyle w:val="ListBullet"/>
        <w:ind w:left="360" w:hanging="360"/>
      </w:pPr>
      <w:r>
        <w:rPr>
          <w:rFonts w:ascii="Calibri" w:hAnsi="Calibri"/>
          <w:b/>
          <w:color w:val="525866"/>
          <w:sz w:val="22"/>
        </w:rPr>
        <w:t xml:space="preserve">PSX Read-Through: </w:t>
      </w:r>
      <w:r>
        <w:rPr>
          <w:rFonts w:ascii="Calibri" w:hAnsi="Calibri"/>
          <w:color w:val="525866"/>
          <w:sz w:val="22"/>
        </w:rPr>
        <w:t>DINO’s Mid-Continent and West region commentary is directly relevant to PSX’s Central Corridor and Western/Pacific refining segments; confirms the favorable margin environment PSX guided for Q2.</w:t>
      </w:r>
    </w:p>
    <w:p>
      <w:pPr>
        <w:pStyle w:val="ListBullet"/>
        <w:ind w:left="360" w:hanging="360"/>
      </w:pPr>
      <w:r>
        <w:rPr>
          <w:rFonts w:ascii="Calibri" w:hAnsi="Calibri"/>
          <w:b/>
          <w:color w:val="525866"/>
          <w:sz w:val="22"/>
        </w:rPr>
        <w:t xml:space="preserve">Renewable Fuels Improving on RINs and PTC: </w:t>
      </w:r>
      <w:r>
        <w:rPr>
          <w:rFonts w:ascii="Calibri" w:hAnsi="Calibri"/>
          <w:color w:val="525866"/>
          <w:sz w:val="22"/>
        </w:rPr>
        <w:t xml:space="preserve">DINO noted improved renewables gross margins driven by “improved RINs prices, higher Producer’s Tax Credit (PTC) benefits and increased volumes.” </w:t>
      </w:r>
    </w:p>
    <w:p>
      <w:pPr>
        <w:pStyle w:val="ListBullet"/>
        <w:ind w:left="360" w:hanging="360"/>
      </w:pPr>
      <w:r>
        <w:rPr>
          <w:rFonts w:ascii="Calibri" w:hAnsi="Calibri"/>
          <w:b/>
          <w:color w:val="525866"/>
          <w:sz w:val="22"/>
        </w:rPr>
        <w:t xml:space="preserve">PSX Read-Through: </w:t>
      </w:r>
      <w:r>
        <w:rPr>
          <w:rFonts w:ascii="Calibri" w:hAnsi="Calibri"/>
          <w:color w:val="525866"/>
          <w:sz w:val="22"/>
        </w:rPr>
        <w:t>Confirms the renewable fuels tailwind PSX has highlighted for its Rodeo facility.</w:t>
      </w:r>
    </w:p>
    <w:p>
      <w:pPr>
        <w:pStyle w:val="Heading3"/>
      </w:pPr>
      <w:r>
        <w:rPr>
          <w:rFonts w:ascii="Calibri" w:hAnsi="Calibri"/>
          <w:b/>
          <w:color w:val="3B4259"/>
          <w:sz w:val="24"/>
        </w:rPr>
        <w:t>CVR Energy (CVI) — Q2 2026 Earnings Call, July 30, 2026</w:t>
      </w:r>
    </w:p>
    <w:p>
      <w:pPr>
        <w:pStyle w:val="ListBullet"/>
        <w:ind w:left="360" w:hanging="360"/>
      </w:pPr>
      <w:r>
        <w:rPr>
          <w:rFonts w:ascii="Calibri" w:hAnsi="Calibri"/>
          <w:b/>
          <w:color w:val="525866"/>
          <w:sz w:val="22"/>
        </w:rPr>
        <w:t xml:space="preserve">Q3 2026 Cracks Already Higher Than Q2: </w:t>
      </w:r>
      <w:r>
        <w:rPr>
          <w:rFonts w:ascii="Calibri" w:hAnsi="Calibri"/>
          <w:color w:val="525866"/>
          <w:sz w:val="22"/>
        </w:rPr>
        <w:t xml:space="preserve">CVI reported that “quarter to date, cracks have increased further” in Q3 2026, with Group 3 2-1-1 cracks averaging $58.70/bbl QTD vs. $44.91/bbl in Q2. WCS differential at $14.04/bbl under WTI QTD. </w:t>
      </w:r>
    </w:p>
    <w:p>
      <w:pPr>
        <w:pStyle w:val="ListBullet"/>
        <w:ind w:left="360" w:hanging="360"/>
      </w:pPr>
      <w:r>
        <w:rPr>
          <w:rFonts w:ascii="Calibri" w:hAnsi="Calibri"/>
          <w:b/>
          <w:color w:val="525866"/>
          <w:sz w:val="22"/>
        </w:rPr>
        <w:t xml:space="preserve">PSX Read-Through: </w:t>
      </w:r>
      <w:r>
        <w:rPr>
          <w:rFonts w:ascii="Calibri" w:hAnsi="Calibri"/>
          <w:color w:val="525866"/>
          <w:sz w:val="22"/>
        </w:rPr>
        <w:t>Provides specific Q3 crack spread data; $58.70/bbl Group 3 cracks QTD is materially above Q2 levels, suggesting Q3 could be even stronger than Q2 for Mid-Continent refiners including PSX.</w:t>
      </w:r>
    </w:p>
    <w:p>
      <w:pPr>
        <w:pStyle w:val="ListBullet"/>
        <w:ind w:left="360" w:hanging="360"/>
      </w:pPr>
      <w:r>
        <w:rPr>
          <w:rFonts w:ascii="Calibri" w:hAnsi="Calibri"/>
          <w:b/>
          <w:color w:val="525866"/>
          <w:sz w:val="22"/>
        </w:rPr>
        <w:t xml:space="preserve">Above Mid-Cycle Conditions Expected Well Into 2027: </w:t>
      </w:r>
      <w:r>
        <w:rPr>
          <w:rFonts w:ascii="Calibri" w:hAnsi="Calibri"/>
          <w:color w:val="525866"/>
          <w:sz w:val="22"/>
        </w:rPr>
        <w:t xml:space="preserve">CVI stated it is “optimistic about the near term outlook for both segments and believe we could remain above mid cycle conditions well into 2027.” </w:t>
      </w:r>
    </w:p>
    <w:p>
      <w:pPr>
        <w:pStyle w:val="ListBullet"/>
        <w:ind w:left="360" w:hanging="360"/>
      </w:pPr>
      <w:r>
        <w:rPr>
          <w:rFonts w:ascii="Calibri" w:hAnsi="Calibri"/>
          <w:b/>
          <w:color w:val="525866"/>
          <w:sz w:val="22"/>
        </w:rPr>
        <w:t xml:space="preserve">PSX Read-Through: </w:t>
      </w:r>
      <w:r>
        <w:rPr>
          <w:rFonts w:ascii="Calibri" w:hAnsi="Calibri"/>
          <w:color w:val="525866"/>
          <w:sz w:val="22"/>
        </w:rPr>
        <w:t>Consistent with PSX management’s multi-quarter bullish outlook.</w:t>
      </w:r>
    </w:p>
    <w:p>
      <w:pPr>
        <w:pStyle w:val="ListBullet"/>
        <w:ind w:left="360" w:hanging="360"/>
      </w:pPr>
      <w:r>
        <w:rPr>
          <w:rFonts w:ascii="Calibri" w:hAnsi="Calibri"/>
          <w:b/>
          <w:color w:val="525866"/>
          <w:sz w:val="22"/>
        </w:rPr>
        <w:t xml:space="preserve">RIN Market Concerns; EPA Action Expected: </w:t>
      </w:r>
      <w:r>
        <w:rPr>
          <w:rFonts w:ascii="Calibri" w:hAnsi="Calibri"/>
          <w:color w:val="525866"/>
          <w:sz w:val="22"/>
        </w:rPr>
        <w:t xml:space="preserve">CVI expressed concerns about the 2026 RVO, noting RIN prices are “completely out of hand” and adding “nearly $0.40/gallon to the price of gasoline,” with compliance costs “more than twice all other combined operating costs for many refineries.” CVI expects EPA to take action. </w:t>
      </w:r>
    </w:p>
    <w:p>
      <w:pPr>
        <w:pStyle w:val="ListBullet"/>
        <w:ind w:left="360" w:hanging="360"/>
      </w:pPr>
      <w:r>
        <w:rPr>
          <w:rFonts w:ascii="Calibri" w:hAnsi="Calibri"/>
          <w:b/>
          <w:color w:val="525866"/>
          <w:sz w:val="22"/>
        </w:rPr>
        <w:t xml:space="preserve">PSX Read-Through: </w:t>
      </w:r>
      <w:r>
        <w:rPr>
          <w:rFonts w:ascii="Calibri" w:hAnsi="Calibri"/>
          <w:color w:val="525866"/>
          <w:sz w:val="22"/>
        </w:rPr>
        <w:t>PSX is a net RIN generator (via Rodeo), so high RIN prices are a tailwind rather than a headwind; this commentary reinforces the value of PSX’s renewable fuels position.</w:t>
      </w:r>
    </w:p>
    <w:p>
      <w:pPr>
        <w:pStyle w:val="ListBullet"/>
        <w:ind w:left="360" w:hanging="360"/>
      </w:pPr>
      <w:r>
        <w:rPr>
          <w:rFonts w:ascii="Calibri" w:hAnsi="Calibri"/>
          <w:b/>
          <w:color w:val="525866"/>
          <w:sz w:val="22"/>
        </w:rPr>
        <w:t xml:space="preserve">PBF Energy (PBF) — Q2 2026 Earnings Release, July 30, 2026: </w:t>
      </w:r>
      <w:r>
        <w:rPr>
          <w:rFonts w:ascii="Calibri" w:hAnsi="Calibri"/>
          <w:color w:val="525866"/>
          <w:sz w:val="22"/>
        </w:rPr>
        <w:t xml:space="preserve">PBF CEO Matt Lucey stated “the underlying fundamentals for refining remain incredibly strong with tight global supply and demand balances.” PBF moved its Martinez hydrocracker turnaround to end of Q3 and deferred Chalmette/Toledo Q4 turnarounds to 2027, implying higher Q4 utilization. </w:t>
      </w:r>
    </w:p>
    <w:p>
      <w:pPr>
        <w:pStyle w:val="ListBullet"/>
        <w:ind w:left="360" w:hanging="360"/>
      </w:pPr>
      <w:r>
        <w:rPr>
          <w:rFonts w:ascii="Calibri" w:hAnsi="Calibri"/>
          <w:b/>
          <w:color w:val="525866"/>
          <w:sz w:val="22"/>
        </w:rPr>
        <w:t xml:space="preserve">PSX Read-Through: </w:t>
      </w:r>
      <w:r>
        <w:rPr>
          <w:rFonts w:ascii="Calibri" w:hAnsi="Calibri"/>
          <w:color w:val="525866"/>
          <w:sz w:val="22"/>
        </w:rPr>
        <w:t>Confirms strong refining fundamentals; PBF’s turnaround deferrals suggest the industry is maximizing run rates to capture elevated margins.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Q1 print is limited to planned 10b5-1 sales by the CFO and General Counsel — no discretionary open-market buys or unusual sale clusters; the one open-market purchase was by a newly appointed director, which is routine.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Sutherland, Vanessa Allen</w:t>
            </w:r>
          </w:p>
        </w:tc>
        <w:tc>
          <w:tcPr>
            <w:tcW w:type="dxa" w:w="1440"/>
          </w:tcPr>
          <w:p>
            <w:r>
              <w:rPr>
                <w:rFonts w:ascii="Calibri" w:hAnsi="Calibri"/>
                <w:sz w:val="22"/>
              </w:rPr>
              <w:t>EVP, GC &amp; Secretary</w:t>
            </w:r>
          </w:p>
        </w:tc>
        <w:tc>
          <w:tcPr>
            <w:tcW w:type="dxa" w:w="1440"/>
          </w:tcPr>
          <w:p>
            <w:r>
              <w:rPr>
                <w:rFonts w:ascii="Calibri" w:hAnsi="Calibri"/>
                <w:sz w:val="22"/>
              </w:rPr>
              <w:t>10b5-1 Planned Sale</w:t>
            </w:r>
          </w:p>
        </w:tc>
        <w:tc>
          <w:tcPr>
            <w:tcW w:type="dxa" w:w="1440"/>
          </w:tcPr>
          <w:p>
            <w:r>
              <w:rPr>
                <w:rFonts w:ascii="Calibri" w:hAnsi="Calibri"/>
                <w:sz w:val="22"/>
              </w:rPr>
              <w:t>3,523 shares</w:t>
            </w:r>
          </w:p>
        </w:tc>
        <w:tc>
          <w:tcPr>
            <w:tcW w:type="dxa" w:w="1440"/>
          </w:tcPr>
          <w:p>
            <w:r>
              <w:rPr>
                <w:rFonts w:ascii="Calibri" w:hAnsi="Calibri"/>
                <w:sz w:val="22"/>
              </w:rPr>
              <w:t>Jul 21, 2026</w:t>
            </w:r>
          </w:p>
        </w:tc>
        <w:tc>
          <w:tcPr>
            <w:tcW w:type="dxa" w:w="1440"/>
          </w:tcPr>
          <w:p>
            <w:r>
              <w:rPr>
                <w:rFonts w:ascii="Calibri" w:hAnsi="Calibri"/>
                <w:sz w:val="22"/>
              </w:rPr>
              <w:t>Pre-planned (plan est. Mar 17, 2026); routine; ~2% of holdings</w:t>
            </w:r>
          </w:p>
        </w:tc>
      </w:tr>
      <w:tr>
        <w:tc>
          <w:tcPr>
            <w:tcW w:type="dxa" w:w="1440"/>
          </w:tcPr>
          <w:p>
            <w:r>
              <w:rPr>
                <w:rFonts w:ascii="Calibri" w:hAnsi="Calibri"/>
                <w:sz w:val="22"/>
              </w:rPr>
              <w:t>Sutherland, Vanessa Allen</w:t>
            </w:r>
          </w:p>
        </w:tc>
        <w:tc>
          <w:tcPr>
            <w:tcW w:type="dxa" w:w="1440"/>
          </w:tcPr>
          <w:p>
            <w:r>
              <w:rPr>
                <w:rFonts w:ascii="Calibri" w:hAnsi="Calibri"/>
                <w:sz w:val="22"/>
              </w:rPr>
              <w:t>EVP, GC &amp; Secretary</w:t>
            </w:r>
          </w:p>
        </w:tc>
        <w:tc>
          <w:tcPr>
            <w:tcW w:type="dxa" w:w="1440"/>
          </w:tcPr>
          <w:p>
            <w:r>
              <w:rPr>
                <w:rFonts w:ascii="Calibri" w:hAnsi="Calibri"/>
                <w:sz w:val="22"/>
              </w:rPr>
              <w:t>10b5-1 Planned Sale</w:t>
            </w:r>
          </w:p>
        </w:tc>
        <w:tc>
          <w:tcPr>
            <w:tcW w:type="dxa" w:w="1440"/>
          </w:tcPr>
          <w:p>
            <w:r>
              <w:rPr>
                <w:rFonts w:ascii="Calibri" w:hAnsi="Calibri"/>
                <w:sz w:val="22"/>
              </w:rPr>
              <w:t>563 shares</w:t>
            </w:r>
          </w:p>
        </w:tc>
        <w:tc>
          <w:tcPr>
            <w:tcW w:type="dxa" w:w="1440"/>
          </w:tcPr>
          <w:p>
            <w:r>
              <w:rPr>
                <w:rFonts w:ascii="Calibri" w:hAnsi="Calibri"/>
                <w:sz w:val="22"/>
              </w:rPr>
              <w:t>Jul 20, 2026</w:t>
            </w:r>
          </w:p>
        </w:tc>
        <w:tc>
          <w:tcPr>
            <w:tcW w:type="dxa" w:w="1440"/>
          </w:tcPr>
          <w:p>
            <w:r>
              <w:rPr>
                <w:rFonts w:ascii="Calibri" w:hAnsi="Calibri"/>
                <w:sz w:val="22"/>
              </w:rPr>
              <w:t>Pre-planned (same plan); tax withholding-related tranche</w:t>
            </w:r>
          </w:p>
        </w:tc>
      </w:tr>
      <w:tr>
        <w:tc>
          <w:tcPr>
            <w:tcW w:type="dxa" w:w="1440"/>
          </w:tcPr>
          <w:p>
            <w:r>
              <w:rPr>
                <w:rFonts w:ascii="Calibri" w:hAnsi="Calibri"/>
                <w:sz w:val="22"/>
              </w:rPr>
              <w:t>Mitchell, Kevin J.</w:t>
            </w:r>
          </w:p>
        </w:tc>
        <w:tc>
          <w:tcPr>
            <w:tcW w:type="dxa" w:w="1440"/>
          </w:tcPr>
          <w:p>
            <w:r>
              <w:rPr>
                <w:rFonts w:ascii="Calibri" w:hAnsi="Calibri"/>
                <w:sz w:val="22"/>
              </w:rPr>
              <w:t>EVP &amp; CFO</w:t>
            </w:r>
          </w:p>
        </w:tc>
        <w:tc>
          <w:tcPr>
            <w:tcW w:type="dxa" w:w="1440"/>
          </w:tcPr>
          <w:p>
            <w:r>
              <w:rPr>
                <w:rFonts w:ascii="Calibri" w:hAnsi="Calibri"/>
                <w:sz w:val="22"/>
              </w:rPr>
              <w:t>10b5-1 Planned Sale</w:t>
            </w:r>
          </w:p>
        </w:tc>
        <w:tc>
          <w:tcPr>
            <w:tcW w:type="dxa" w:w="1440"/>
          </w:tcPr>
          <w:p>
            <w:r>
              <w:rPr>
                <w:rFonts w:ascii="Calibri" w:hAnsi="Calibri"/>
                <w:sz w:val="22"/>
              </w:rPr>
              <w:t>11,021 shares</w:t>
            </w:r>
          </w:p>
        </w:tc>
        <w:tc>
          <w:tcPr>
            <w:tcW w:type="dxa" w:w="1440"/>
          </w:tcPr>
          <w:p>
            <w:r>
              <w:rPr>
                <w:rFonts w:ascii="Calibri" w:hAnsi="Calibri"/>
                <w:sz w:val="22"/>
              </w:rPr>
              <w:t>Jul 9, 2026</w:t>
            </w:r>
          </w:p>
        </w:tc>
        <w:tc>
          <w:tcPr>
            <w:tcW w:type="dxa" w:w="1440"/>
          </w:tcPr>
          <w:p>
            <w:r>
              <w:rPr>
                <w:rFonts w:ascii="Calibri" w:hAnsi="Calibri"/>
                <w:sz w:val="22"/>
              </w:rPr>
              <w:t>Pre-planned; routine diversification; ~10% of holdings</w:t>
            </w:r>
          </w:p>
        </w:tc>
      </w:tr>
      <w:tr>
        <w:tc>
          <w:tcPr>
            <w:tcW w:type="dxa" w:w="1440"/>
          </w:tcPr>
          <w:p>
            <w:r>
              <w:rPr>
                <w:rFonts w:ascii="Calibri" w:hAnsi="Calibri"/>
                <w:sz w:val="22"/>
              </w:rPr>
              <w:t>Mitchell, Kevin J.</w:t>
            </w:r>
          </w:p>
        </w:tc>
        <w:tc>
          <w:tcPr>
            <w:tcW w:type="dxa" w:w="1440"/>
          </w:tcPr>
          <w:p>
            <w:r>
              <w:rPr>
                <w:rFonts w:ascii="Calibri" w:hAnsi="Calibri"/>
                <w:sz w:val="22"/>
              </w:rPr>
              <w:t>EVP &amp; CFO</w:t>
            </w:r>
          </w:p>
        </w:tc>
        <w:tc>
          <w:tcPr>
            <w:tcW w:type="dxa" w:w="1440"/>
          </w:tcPr>
          <w:p>
            <w:r>
              <w:rPr>
                <w:rFonts w:ascii="Calibri" w:hAnsi="Calibri"/>
                <w:sz w:val="22"/>
              </w:rPr>
              <w:t>Open Market Sale</w:t>
            </w:r>
          </w:p>
        </w:tc>
        <w:tc>
          <w:tcPr>
            <w:tcW w:type="dxa" w:w="1440"/>
          </w:tcPr>
          <w:p>
            <w:r>
              <w:rPr>
                <w:rFonts w:ascii="Calibri" w:hAnsi="Calibri"/>
                <w:sz w:val="22"/>
              </w:rPr>
              <w:t>600 shares</w:t>
            </w:r>
          </w:p>
        </w:tc>
        <w:tc>
          <w:tcPr>
            <w:tcW w:type="dxa" w:w="1440"/>
          </w:tcPr>
          <w:p>
            <w:r>
              <w:rPr>
                <w:rFonts w:ascii="Calibri" w:hAnsi="Calibri"/>
                <w:sz w:val="22"/>
              </w:rPr>
              <w:t>May 11, 2026</w:t>
            </w:r>
          </w:p>
        </w:tc>
        <w:tc>
          <w:tcPr>
            <w:tcW w:type="dxa" w:w="1440"/>
          </w:tcPr>
          <w:p>
            <w:r>
              <w:rPr>
                <w:rFonts w:ascii="Calibri" w:hAnsi="Calibri"/>
                <w:sz w:val="22"/>
              </w:rPr>
              <w:t>Discretionary; small size; not flagged as 10b5-1</w:t>
            </w:r>
          </w:p>
        </w:tc>
      </w:tr>
      <w:tr>
        <w:tc>
          <w:tcPr>
            <w:tcW w:type="dxa" w:w="1440"/>
          </w:tcPr>
          <w:p>
            <w:r>
              <w:rPr>
                <w:rFonts w:ascii="Calibri" w:hAnsi="Calibri"/>
                <w:sz w:val="22"/>
              </w:rPr>
              <w:t>Mitchell, Kevin J.</w:t>
            </w:r>
          </w:p>
        </w:tc>
        <w:tc>
          <w:tcPr>
            <w:tcW w:type="dxa" w:w="1440"/>
          </w:tcPr>
          <w:p>
            <w:r>
              <w:rPr>
                <w:rFonts w:ascii="Calibri" w:hAnsi="Calibri"/>
                <w:sz w:val="22"/>
              </w:rPr>
              <w:t>EVP &amp; CFO</w:t>
            </w:r>
          </w:p>
        </w:tc>
        <w:tc>
          <w:tcPr>
            <w:tcW w:type="dxa" w:w="1440"/>
          </w:tcPr>
          <w:p>
            <w:r>
              <w:rPr>
                <w:rFonts w:ascii="Calibri" w:hAnsi="Calibri"/>
                <w:sz w:val="22"/>
              </w:rPr>
              <w:t>Open Market Sale</w:t>
            </w:r>
          </w:p>
        </w:tc>
        <w:tc>
          <w:tcPr>
            <w:tcW w:type="dxa" w:w="1440"/>
          </w:tcPr>
          <w:p>
            <w:r>
              <w:rPr>
                <w:rFonts w:ascii="Calibri" w:hAnsi="Calibri"/>
                <w:sz w:val="22"/>
              </w:rPr>
              <w:t>29,400 shares</w:t>
            </w:r>
          </w:p>
        </w:tc>
        <w:tc>
          <w:tcPr>
            <w:tcW w:type="dxa" w:w="1440"/>
          </w:tcPr>
          <w:p>
            <w:r>
              <w:rPr>
                <w:rFonts w:ascii="Calibri" w:hAnsi="Calibri"/>
                <w:sz w:val="22"/>
              </w:rPr>
              <w:t>May 8, 2026</w:t>
            </w:r>
          </w:p>
        </w:tc>
        <w:tc>
          <w:tcPr>
            <w:tcW w:type="dxa" w:w="1440"/>
          </w:tcPr>
          <w:p>
            <w:r>
              <w:rPr>
                <w:rFonts w:ascii="Calibri" w:hAnsi="Calibri"/>
                <w:sz w:val="22"/>
              </w:rPr>
              <w:t>Discretionary; larger sale at ~$171/share; notable size but no 10b5-1 flag</w:t>
            </w:r>
          </w:p>
        </w:tc>
      </w:tr>
      <w:tr>
        <w:tc>
          <w:tcPr>
            <w:tcW w:type="dxa" w:w="1440"/>
          </w:tcPr>
          <w:p>
            <w:r>
              <w:rPr>
                <w:rFonts w:ascii="Calibri" w:hAnsi="Calibri"/>
                <w:sz w:val="22"/>
              </w:rPr>
              <w:t>Meyers, Kevin Omar</w:t>
            </w:r>
          </w:p>
        </w:tc>
        <w:tc>
          <w:tcPr>
            <w:tcW w:type="dxa" w:w="1440"/>
          </w:tcPr>
          <w:p>
            <w:r>
              <w:rPr>
                <w:rFonts w:ascii="Calibri" w:hAnsi="Calibri"/>
                <w:sz w:val="22"/>
              </w:rPr>
              <w:t>Director (newly appointed)</w:t>
            </w:r>
          </w:p>
        </w:tc>
        <w:tc>
          <w:tcPr>
            <w:tcW w:type="dxa" w:w="1440"/>
          </w:tcPr>
          <w:p>
            <w:r>
              <w:rPr>
                <w:rFonts w:ascii="Calibri" w:hAnsi="Calibri"/>
                <w:sz w:val="22"/>
              </w:rPr>
              <w:t>Open Market Buy</w:t>
            </w:r>
          </w:p>
        </w:tc>
        <w:tc>
          <w:tcPr>
            <w:tcW w:type="dxa" w:w="1440"/>
          </w:tcPr>
          <w:p>
            <w:r>
              <w:rPr>
                <w:rFonts w:ascii="Calibri" w:hAnsi="Calibri"/>
                <w:sz w:val="22"/>
              </w:rPr>
              <w:t>175 shares</w:t>
            </w:r>
          </w:p>
        </w:tc>
        <w:tc>
          <w:tcPr>
            <w:tcW w:type="dxa" w:w="1440"/>
          </w:tcPr>
          <w:p>
            <w:r>
              <w:rPr>
                <w:rFonts w:ascii="Calibri" w:hAnsi="Calibri"/>
                <w:sz w:val="22"/>
              </w:rPr>
              <w:t>May 6, 2026</w:t>
            </w:r>
          </w:p>
        </w:tc>
        <w:tc>
          <w:tcPr>
            <w:tcW w:type="dxa" w:w="1440"/>
          </w:tcPr>
          <w:p>
            <w:r>
              <w:rPr>
                <w:rFonts w:ascii="Calibri" w:hAnsi="Calibri"/>
                <w:sz w:val="22"/>
              </w:rPr>
              <w:t>Routine director purchase upon appointment; not a discretionary signal</w:t>
            </w:r>
          </w:p>
        </w:tc>
      </w:tr>
    </w:tbl>
    <w:p>
      <w:r>
        <w:rPr>
          <w:rFonts w:ascii="Calibri" w:hAnsi="Calibri"/>
          <w:color w:val="525866"/>
          <w:sz w:val="22"/>
        </w:rPr>
        <w:t>Source: SEC Form 4 Filings Database (Insider Transaction Data). Note: The CFO’s May 8 sale of 29,400 shares at ~$171/share is the most notable transaction in size, but occurred shortly after the Q1 earnings print and is not flagged as a 10b5-1 plan — worth monitoring but not a clear negative signal given the stock has since risen ~24% from that level. The Form 144 filing by Sutherland on July 22 (intention to sell $743K) is consistent with the executed Form 4 sales.</w:t>
      </w:r>
    </w:p>
    <w:p>
      <w:r>
        <w:br w:type="page"/>
      </w:r>
    </w:p>
    <w:p>
      <w:pPr>
        <w:pStyle w:val="Heading2"/>
      </w:pPr>
      <w:r>
        <w:rPr>
          <w:rFonts w:ascii="Calibri" w:hAnsi="Calibri"/>
          <w:b/>
          <w:color w:val="3B4259"/>
          <w:sz w:val="28"/>
        </w:rPr>
        <w:t>9. Key Questions for the Call</w:t>
      </w:r>
    </w:p>
    <w:p>
      <w:pPr>
        <w:pStyle w:val="ListNumber"/>
        <w:ind w:left="360" w:hanging="360"/>
      </w:pPr>
      <w:r>
        <w:rPr>
          <w:rFonts w:ascii="Calibri" w:hAnsi="Calibri"/>
          <w:b/>
          <w:color w:val="525866"/>
          <w:sz w:val="22"/>
        </w:rPr>
        <w:t xml:space="preserve">Mark-to-Market Hedge Reversal in Q2: </w:t>
      </w:r>
      <w:r>
        <w:rPr>
          <w:rFonts w:ascii="Calibri" w:hAnsi="Calibri"/>
          <w:color w:val="525866"/>
          <w:sz w:val="22"/>
        </w:rPr>
        <w:t>How much of the $839M Q1 MTM loss reversed in Q2? Management guided ~$500M recovery by year-end based on the forward curve — what was the Q2 contribution, and what is the remaining expected reversal in H2?</w:t>
      </w:r>
    </w:p>
    <w:p>
      <w:pPr>
        <w:pStyle w:val="ListNumber"/>
        <w:ind w:left="360" w:hanging="360"/>
      </w:pPr>
      <w:r>
        <w:rPr>
          <w:rFonts w:ascii="Calibri" w:hAnsi="Calibri"/>
          <w:b/>
          <w:color w:val="525866"/>
          <w:sz w:val="22"/>
        </w:rPr>
        <w:t xml:space="preserve">Refining Market Capture Rate: </w:t>
      </w:r>
      <w:r>
        <w:rPr>
          <w:rFonts w:ascii="Calibri" w:hAnsi="Calibri"/>
          <w:color w:val="525866"/>
          <w:sz w:val="22"/>
        </w:rPr>
        <w:t>Q1 worldwide market capture hit a record 138%. What was Q2 capture, and how much of the commercial optionality (Jones Act waivers, time charters, global placement) that drove Q1 outperformance was available in Q2?</w:t>
      </w:r>
    </w:p>
    <w:p>
      <w:pPr>
        <w:pStyle w:val="ListNumber"/>
        <w:ind w:left="360" w:hanging="360"/>
      </w:pPr>
      <w:r>
        <w:rPr>
          <w:rFonts w:ascii="Calibri" w:hAnsi="Calibri"/>
          <w:b/>
          <w:color w:val="525866"/>
          <w:sz w:val="22"/>
        </w:rPr>
        <w:t xml:space="preserve">Western Gateway Pipeline FID: </w:t>
      </w:r>
      <w:r>
        <w:rPr>
          <w:rFonts w:ascii="Calibri" w:hAnsi="Calibri"/>
          <w:color w:val="525866"/>
          <w:sz w:val="22"/>
        </w:rPr>
        <w:t>Management guided FID “mid-to-late summer 2026” for a 2029 in-service date. Has FID been taken? What is the project cost, PSX’s equity share, and expected EBITDA contribution? KMI’s $1.75B notes offering — is this related?</w:t>
      </w:r>
    </w:p>
    <w:p>
      <w:pPr>
        <w:pStyle w:val="ListNumber"/>
        <w:ind w:left="360" w:hanging="360"/>
      </w:pPr>
      <w:r>
        <w:rPr>
          <w:rFonts w:ascii="Calibri" w:hAnsi="Calibri"/>
          <w:b/>
          <w:color w:val="525866"/>
          <w:sz w:val="22"/>
        </w:rPr>
        <w:t xml:space="preserve">Debt Reduction Progress: </w:t>
      </w:r>
      <w:r>
        <w:rPr>
          <w:rFonts w:ascii="Calibri" w:hAnsi="Calibri"/>
          <w:color w:val="525866"/>
          <w:sz w:val="22"/>
        </w:rPr>
        <w:t>Q1 debt rose to $27.1B from $19.7B due to margin collateral requirements. How much collateral has been released in Q2 as commodity prices normalized? Is the company on track for ~$19B by year-end 2026?</w:t>
      </w:r>
    </w:p>
    <w:p>
      <w:pPr>
        <w:pStyle w:val="ListNumber"/>
        <w:ind w:left="360" w:hanging="360"/>
      </w:pPr>
      <w:r>
        <w:rPr>
          <w:rFonts w:ascii="Calibri" w:hAnsi="Calibri"/>
          <w:b/>
          <w:color w:val="525866"/>
          <w:sz w:val="22"/>
        </w:rPr>
        <w:t xml:space="preserve">WCS Differential Outlook: </w:t>
      </w:r>
      <w:r>
        <w:rPr>
          <w:rFonts w:ascii="Calibri" w:hAnsi="Calibri"/>
          <w:color w:val="525866"/>
          <w:sz w:val="22"/>
        </w:rPr>
        <w:t>WCS spreads temporarily tightened due to Canadian wildfires/floods. Have they widened back out? MPC guided WCS to move north of $16/bbl by Q4 — does PSX agree, and what is the current sensitivity?</w:t>
      </w:r>
    </w:p>
    <w:p>
      <w:pPr>
        <w:pStyle w:val="ListNumber"/>
        <w:ind w:left="360" w:hanging="360"/>
      </w:pPr>
      <w:r>
        <w:rPr>
          <w:rFonts w:ascii="Calibri" w:hAnsi="Calibri"/>
          <w:b/>
          <w:color w:val="525866"/>
          <w:sz w:val="22"/>
        </w:rPr>
        <w:t xml:space="preserve">Chemicals (CPChem) Q2 Performance and Q3 Outlook: </w:t>
      </w:r>
      <w:r>
        <w:rPr>
          <w:rFonts w:ascii="Calibri" w:hAnsi="Calibri"/>
          <w:color w:val="525866"/>
          <w:sz w:val="22"/>
        </w:rPr>
        <w:t>Q2 guidance was low-80s O&amp;P utilization due to Middle East JV uncertainty. What actually happened? Are the Middle East JV assets restarting, and what is the Q3 utilization outlook?</w:t>
      </w:r>
    </w:p>
    <w:p>
      <w:pPr>
        <w:pStyle w:val="ListNumber"/>
        <w:ind w:left="360" w:hanging="360"/>
      </w:pPr>
      <w:r>
        <w:rPr>
          <w:rFonts w:ascii="Calibri" w:hAnsi="Calibri"/>
          <w:b/>
          <w:color w:val="525866"/>
          <w:sz w:val="22"/>
        </w:rPr>
        <w:t xml:space="preserve">Rodeo Renewable Fuels — Monetization Interest: </w:t>
      </w:r>
      <w:r>
        <w:rPr>
          <w:rFonts w:ascii="Calibri" w:hAnsi="Calibri"/>
          <w:color w:val="525866"/>
          <w:sz w:val="22"/>
        </w:rPr>
        <w:t>Management indicated openness to asset monetization at Rodeo. With RIN values more than double 2025 levels and the facility running above nameplate, has interest from potential buyers increased? What is the current mid-cycle EBITDA target?</w:t>
      </w:r>
    </w:p>
    <w:p>
      <w:pPr>
        <w:pStyle w:val="ListNumber"/>
        <w:ind w:left="360" w:hanging="360"/>
      </w:pPr>
      <w:r>
        <w:rPr>
          <w:rFonts w:ascii="Calibri" w:hAnsi="Calibri"/>
          <w:b/>
          <w:color w:val="525866"/>
          <w:sz w:val="22"/>
        </w:rPr>
        <w:t xml:space="preserve">Hormuz Reopening Scenario: </w:t>
      </w:r>
      <w:r>
        <w:rPr>
          <w:rFonts w:ascii="Calibri" w:hAnsi="Calibri"/>
          <w:color w:val="525866"/>
          <w:sz w:val="22"/>
        </w:rPr>
        <w:t>Iran and Oman are reportedly working toward a Hormuz deal. How does PSX model the impact of a gradual reopening on refining margins, crude differentials, and the chemicals recovery timeline? Management has noted the process would be slow — what is the base case?</w:t>
      </w:r>
    </w:p>
    <w:p>
      <w:pPr>
        <w:pStyle w:val="ListNumber"/>
        <w:ind w:left="360" w:hanging="360"/>
      </w:pPr>
      <w:r>
        <w:rPr>
          <w:rFonts w:ascii="Calibri" w:hAnsi="Calibri"/>
          <w:b/>
          <w:color w:val="525866"/>
          <w:sz w:val="22"/>
        </w:rPr>
        <w:t xml:space="preserve">Shareholder Returns in Q2: </w:t>
      </w:r>
      <w:r>
        <w:rPr>
          <w:rFonts w:ascii="Calibri" w:hAnsi="Calibri"/>
          <w:color w:val="525866"/>
          <w:sz w:val="22"/>
        </w:rPr>
        <w:t>Q1 returns were $778M ($269M buybacks + $509M dividends). With strong cash generation in Q2, did buyback pace accelerate? Is the company on track for ~$2B in annual buybacks?</w:t>
      </w:r>
    </w:p>
    <w:p>
      <w:pPr>
        <w:pStyle w:val="ListNumber"/>
        <w:ind w:left="360" w:hanging="360"/>
      </w:pPr>
      <w:r>
        <w:rPr>
          <w:rFonts w:ascii="Calibri" w:hAnsi="Calibri"/>
          <w:b/>
          <w:color w:val="525866"/>
          <w:sz w:val="22"/>
        </w:rPr>
        <w:t xml:space="preserve">Refining Controllable Cost Progress: </w:t>
      </w:r>
      <w:r>
        <w:rPr>
          <w:rFonts w:ascii="Calibri" w:hAnsi="Calibri"/>
          <w:color w:val="525866"/>
          <w:sz w:val="22"/>
        </w:rPr>
        <w:t>Q1 controllable cost was $6.21/bbl ($5.80s normalized for natural gas), within striking range of the $5.50/bbl 2027 target. What was Q2 cost/bbl, and are the 200+ active initiatives delivering the expected $0.15–$0.20/bbl structural reduction?</w:t>
      </w:r>
    </w:p>
    <w:p>
      <w:r>
        <w:br w:type="page"/>
      </w:r>
    </w:p>
    <w:p>
      <w:pPr>
        <w:pStyle w:val="Heading2"/>
      </w:pPr>
      <w:r>
        <w:rPr>
          <w:rFonts w:ascii="Calibri" w:hAnsi="Calibri"/>
          <w:b/>
          <w:color w:val="3B4259"/>
          <w:sz w:val="28"/>
        </w:rPr>
        <w:t>Appendix: Valuation Context</w:t>
      </w:r>
    </w:p>
    <w:p>
      <w:r>
        <w:rPr>
          <w:rFonts w:ascii="Calibri" w:hAnsi="Calibri"/>
          <w:color w:val="525866"/>
          <w:sz w:val="22"/>
        </w:rPr>
        <w:t xml:space="preserve">PSX trades at </w:t>
      </w:r>
      <w:r>
        <w:rPr>
          <w:rFonts w:ascii="Calibri" w:hAnsi="Calibri"/>
          <w:b/>
          <w:color w:val="525866"/>
          <w:sz w:val="22"/>
        </w:rPr>
        <w:t>7.4x NTM EV/EBITDA</w:t>
      </w:r>
      <w:r>
        <w:rPr>
          <w:rFonts w:ascii="Calibri" w:hAnsi="Calibri"/>
          <w:color w:val="525866"/>
          <w:sz w:val="22"/>
        </w:rPr>
        <w:t xml:space="preserve"> vs. the refining peer group median of approximately 6.0–6.5x, representing a ~15% premium. This premium is justified by PSX’s growing midstream earnings mix (~$4B stable EBITDA), improving cost structure, and commercial optionality. Over the past 12 months, PSX’s NTM EV/EBITDA has compressed from 8.76x to 7.37x (−15.9%), meaning the +72% stock return has been driven entirely by earnings growth, not multiple expansion. The stock’s NTM P/E of ~9.8x is at the low end of its historical range, suggesting further upside if the margin environment persists as management and peers expect.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PSX</w:t>
            </w:r>
          </w:p>
        </w:tc>
        <w:tc>
          <w:tcPr>
            <w:tcW w:type="dxa" w:w="1728"/>
            <w:shd w:val="clear" w:color="auto" w:fill="3B4259"/>
          </w:tcPr>
          <w:p>
            <w:r>
              <w:rPr>
                <w:rFonts w:ascii="Calibri" w:hAnsi="Calibri"/>
                <w:b/>
                <w:color w:val="FFFFFF"/>
                <w:sz w:val="22"/>
              </w:rPr>
              <w:t>1M Δ Multiple</w:t>
            </w:r>
          </w:p>
        </w:tc>
        <w:tc>
          <w:tcPr>
            <w:tcW w:type="dxa" w:w="1728"/>
            <w:shd w:val="clear" w:color="auto" w:fill="3B4259"/>
          </w:tcPr>
          <w:p>
            <w:r>
              <w:rPr>
                <w:rFonts w:ascii="Calibri" w:hAnsi="Calibri"/>
                <w:b/>
                <w:color w:val="FFFFFF"/>
                <w:sz w:val="22"/>
              </w:rPr>
              <w:t>3M Δ Multiple</w:t>
            </w:r>
          </w:p>
        </w:tc>
        <w:tc>
          <w:tcPr>
            <w:tcW w:type="dxa" w:w="1728"/>
            <w:shd w:val="clear" w:color="auto" w:fill="3B4259"/>
          </w:tcPr>
          <w:p>
            <w:r>
              <w:rPr>
                <w:rFonts w:ascii="Calibri" w:hAnsi="Calibri"/>
                <w:b/>
                <w:color w:val="FFFFFF"/>
                <w:sz w:val="22"/>
              </w:rPr>
              <w:t>12M Δ Multiple</w:t>
            </w:r>
          </w:p>
        </w:tc>
      </w:tr>
      <w:tr>
        <w:tc>
          <w:tcPr>
            <w:tcW w:type="dxa" w:w="1728"/>
          </w:tcPr>
          <w:p>
            <w:r>
              <w:rPr>
                <w:rFonts w:ascii="Calibri" w:hAnsi="Calibri"/>
                <w:sz w:val="22"/>
              </w:rPr>
              <w:t>NTM EV/EBITDA</w:t>
            </w:r>
          </w:p>
        </w:tc>
        <w:tc>
          <w:tcPr>
            <w:tcW w:type="dxa" w:w="1728"/>
          </w:tcPr>
          <w:p>
            <w:r>
              <w:rPr>
                <w:rFonts w:ascii="Calibri" w:hAnsi="Calibri"/>
                <w:sz w:val="22"/>
              </w:rPr>
              <w:t>7.37x</w:t>
            </w:r>
          </w:p>
        </w:tc>
        <w:tc>
          <w:tcPr>
            <w:tcW w:type="dxa" w:w="1728"/>
          </w:tcPr>
          <w:p>
            <w:r>
              <w:rPr>
                <w:rFonts w:ascii="Calibri" w:hAnsi="Calibri"/>
                <w:sz w:val="22"/>
              </w:rPr>
              <w:t>+1.4%</w:t>
            </w:r>
          </w:p>
        </w:tc>
        <w:tc>
          <w:tcPr>
            <w:tcW w:type="dxa" w:w="1728"/>
          </w:tcPr>
          <w:p>
            <w:r>
              <w:rPr>
                <w:rFonts w:ascii="Calibri" w:hAnsi="Calibri"/>
                <w:sz w:val="22"/>
              </w:rPr>
              <w:t>-3.3%</w:t>
            </w:r>
          </w:p>
        </w:tc>
        <w:tc>
          <w:tcPr>
            <w:tcW w:type="dxa" w:w="1728"/>
          </w:tcPr>
          <w:p>
            <w:r>
              <w:rPr>
                <w:rFonts w:ascii="Calibri" w:hAnsi="Calibri"/>
                <w:sz w:val="22"/>
              </w:rPr>
              <w:t>-15.9%</w:t>
            </w:r>
          </w:p>
        </w:tc>
      </w:tr>
      <w:tr>
        <w:tc>
          <w:tcPr>
            <w:tcW w:type="dxa" w:w="1728"/>
          </w:tcPr>
          <w:p>
            <w:r>
              <w:rPr>
                <w:rFonts w:ascii="Calibri" w:hAnsi="Calibri"/>
                <w:sz w:val="22"/>
              </w:rPr>
              <w:t>NTM P/E</w:t>
            </w:r>
          </w:p>
        </w:tc>
        <w:tc>
          <w:tcPr>
            <w:tcW w:type="dxa" w:w="1728"/>
          </w:tcPr>
          <w:p>
            <w:r>
              <w:rPr>
                <w:rFonts w:ascii="Calibri" w:hAnsi="Calibri"/>
                <w:sz w:val="22"/>
              </w:rPr>
              <w:t>9.83x</w:t>
            </w:r>
          </w:p>
        </w:tc>
        <w:tc>
          <w:tcPr>
            <w:tcW w:type="dxa" w:w="1728"/>
          </w:tcPr>
          <w:p>
            <w:r>
              <w:rPr>
                <w:rFonts w:ascii="Calibri" w:hAnsi="Calibri"/>
                <w:sz w:val="22"/>
              </w:rPr>
              <w:t>+1.6%</w:t>
            </w:r>
          </w:p>
        </w:tc>
        <w:tc>
          <w:tcPr>
            <w:tcW w:type="dxa" w:w="1728"/>
          </w:tcPr>
          <w:p>
            <w:r>
              <w:rPr>
                <w:rFonts w:ascii="Calibri" w:hAnsi="Calibri"/>
                <w:sz w:val="22"/>
              </w:rPr>
              <w:t>-4.8%</w:t>
            </w:r>
          </w:p>
        </w:tc>
        <w:tc>
          <w:tcPr>
            <w:tcW w:type="dxa" w:w="1728"/>
          </w:tcPr>
          <w:p>
            <w:r>
              <w:rPr>
                <w:rFonts w:ascii="Calibri" w:hAnsi="Calibri"/>
                <w:sz w:val="22"/>
              </w:rPr>
              <w:t>-38.1%</w:t>
            </w:r>
          </w:p>
        </w:tc>
      </w:tr>
      <w:tr>
        <w:tc>
          <w:tcPr>
            <w:tcW w:type="dxa" w:w="1728"/>
          </w:tcPr>
          <w:p>
            <w:r>
              <w:rPr>
                <w:rFonts w:ascii="Calibri" w:hAnsi="Calibri"/>
                <w:sz w:val="22"/>
              </w:rPr>
              <w:t>NTM P/FCF</w:t>
            </w:r>
          </w:p>
        </w:tc>
        <w:tc>
          <w:tcPr>
            <w:tcW w:type="dxa" w:w="1728"/>
          </w:tcPr>
          <w:p>
            <w:r>
              <w:rPr>
                <w:rFonts w:ascii="Calibri" w:hAnsi="Calibri"/>
                <w:sz w:val="22"/>
              </w:rPr>
              <w:t>10.01x</w:t>
            </w:r>
          </w:p>
        </w:tc>
        <w:tc>
          <w:tcPr>
            <w:tcW w:type="dxa" w:w="1728"/>
          </w:tcPr>
          <w:p>
            <w:r>
              <w:rPr>
                <w:rFonts w:ascii="Calibri" w:hAnsi="Calibri"/>
                <w:sz w:val="22"/>
              </w:rPr>
              <w:t>-1.6%</w:t>
            </w:r>
          </w:p>
        </w:tc>
        <w:tc>
          <w:tcPr>
            <w:tcW w:type="dxa" w:w="1728"/>
          </w:tcPr>
          <w:p>
            <w:r>
              <w:rPr>
                <w:rFonts w:ascii="Calibri" w:hAnsi="Calibri"/>
                <w:sz w:val="22"/>
              </w:rPr>
              <w:t>-10.9%</w:t>
            </w:r>
          </w:p>
        </w:tc>
        <w:tc>
          <w:tcPr>
            <w:tcW w:type="dxa" w:w="1728"/>
          </w:tcPr>
          <w:p>
            <w:r>
              <w:rPr>
                <w:rFonts w:ascii="Calibri" w:hAnsi="Calibri"/>
                <w:sz w:val="22"/>
              </w:rPr>
              <w:t>-35.1%</w:t>
            </w:r>
          </w:p>
        </w:tc>
      </w:tr>
      <w:tr>
        <w:tc>
          <w:tcPr>
            <w:tcW w:type="dxa" w:w="1728"/>
          </w:tcPr>
          <w:p>
            <w:r>
              <w:rPr>
                <w:rFonts w:ascii="Calibri" w:hAnsi="Calibri"/>
                <w:sz w:val="22"/>
              </w:rPr>
              <w:t>NTM EV/Sales</w:t>
            </w:r>
          </w:p>
        </w:tc>
        <w:tc>
          <w:tcPr>
            <w:tcW w:type="dxa" w:w="1728"/>
          </w:tcPr>
          <w:p>
            <w:r>
              <w:rPr>
                <w:rFonts w:ascii="Calibri" w:hAnsi="Calibri"/>
                <w:sz w:val="22"/>
              </w:rPr>
              <w:t>0.74x</w:t>
            </w:r>
          </w:p>
        </w:tc>
        <w:tc>
          <w:tcPr>
            <w:tcW w:type="dxa" w:w="1728"/>
          </w:tcPr>
          <w:p>
            <w:r>
              <w:rPr>
                <w:rFonts w:ascii="Calibri" w:hAnsi="Calibri"/>
                <w:sz w:val="22"/>
              </w:rPr>
              <w:t>+12.1%</w:t>
            </w:r>
          </w:p>
        </w:tc>
        <w:tc>
          <w:tcPr>
            <w:tcW w:type="dxa" w:w="1728"/>
          </w:tcPr>
          <w:p>
            <w:r>
              <w:rPr>
                <w:rFonts w:ascii="Calibri" w:hAnsi="Calibri"/>
                <w:sz w:val="22"/>
              </w:rPr>
              <w:t>+19.3%</w:t>
            </w:r>
          </w:p>
        </w:tc>
        <w:tc>
          <w:tcPr>
            <w:tcW w:type="dxa" w:w="1728"/>
          </w:tcPr>
          <w:p>
            <w:r>
              <w:rPr>
                <w:rFonts w:ascii="Calibri" w:hAnsi="Calibri"/>
                <w:sz w:val="22"/>
              </w:rPr>
              <w:t>+36.0%</w:t>
            </w:r>
          </w:p>
        </w:tc>
      </w:tr>
      <w:tr>
        <w:tc>
          <w:tcPr>
            <w:tcW w:type="dxa" w:w="1728"/>
          </w:tcPr>
          <w:p>
            <w:r>
              <w:rPr>
                <w:rFonts w:ascii="Calibri" w:hAnsi="Calibri"/>
                <w:sz w:val="22"/>
              </w:rPr>
              <w:t>NTM P/Book</w:t>
            </w:r>
          </w:p>
        </w:tc>
        <w:tc>
          <w:tcPr>
            <w:tcW w:type="dxa" w:w="1728"/>
          </w:tcPr>
          <w:p>
            <w:r>
              <w:rPr>
                <w:rFonts w:ascii="Calibri" w:hAnsi="Calibri"/>
                <w:sz w:val="22"/>
              </w:rPr>
              <w:t>2.31x</w:t>
            </w:r>
          </w:p>
        </w:tc>
        <w:tc>
          <w:tcPr>
            <w:tcW w:type="dxa" w:w="1728"/>
          </w:tcPr>
          <w:p>
            <w:r>
              <w:rPr>
                <w:rFonts w:ascii="Calibri" w:hAnsi="Calibri"/>
                <w:sz w:val="22"/>
              </w:rPr>
              <w:t>+10.4%</w:t>
            </w:r>
          </w:p>
        </w:tc>
        <w:tc>
          <w:tcPr>
            <w:tcW w:type="dxa" w:w="1728"/>
          </w:tcPr>
          <w:p>
            <w:r>
              <w:rPr>
                <w:rFonts w:ascii="Calibri" w:hAnsi="Calibri"/>
                <w:sz w:val="22"/>
              </w:rPr>
              <w:t>+6.7%</w:t>
            </w:r>
          </w:p>
        </w:tc>
        <w:tc>
          <w:tcPr>
            <w:tcW w:type="dxa" w:w="1728"/>
          </w:tcPr>
          <w:p>
            <w:r>
              <w:rPr>
                <w:rFonts w:ascii="Calibri" w:hAnsi="Calibri"/>
                <w:sz w:val="22"/>
              </w:rPr>
              <w:t>+29.7%</w:t>
            </w:r>
          </w:p>
        </w:tc>
      </w:tr>
    </w:tbl>
    <w:p>
      <w:r>
        <w:rPr>
          <w:rFonts w:ascii="Calibri" w:hAnsi="Calibri"/>
          <w:color w:val="525866"/>
          <w:sz w:val="22"/>
        </w:rPr>
        <w:t>Source: Stock Performance Decomposition data (NTM consensus multiples as of August 4, 2026). Peer group: Oil &amp; Gas Refining &amp; Marketing (MPC, VLO, DINO, SUN, PBF, CVI, DKL, WKC, PARR, DK, VVV).</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