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q-earnings-predictions--2026-08-04"/>
    <w:p>
      <w:pPr>
        <w:pStyle w:val="Heading1"/>
      </w:pPr>
      <w:r>
        <w:t xml:space="preserve">Q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net sales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1.40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1.38B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1.12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1.06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Operating EBITDA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445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432M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Net sales guide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5.35</m:t>
              </m:r>
              <m:r>
                <m:rPr>
                  <m:sty m:val="p"/>
                </m:rPr>
                <m:t>−</m:t>
              </m:r>
              <m:r>
                <m:t>5.45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5.40B) vs. cons ~$5.34B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Adj. EPS guide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4.00</m:t>
              </m:r>
              <m:r>
                <m:rPr>
                  <m:sty m:val="p"/>
                </m:rPr>
                <m:t>−</m:t>
              </m:r>
              <m:r>
                <m:t>4.25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4.12) vs. cons ~$4.02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Adj. Operating EBITDA guide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1.58</m:t>
              </m:r>
              <m:r>
                <m:rPr>
                  <m:sty m:val="p"/>
                </m:rPr>
                <m:t>−</m:t>
              </m:r>
              <m:r>
                <m:t>1.66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1.62B) vs. cons ~$1.60B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MSI wafer-start growth assumption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~high-single-digit (~7-8%) vs. prior mid-to-high-single-digit ~6%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ICS advanced pkg/thermal/AI-PCB growth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~+45% YoY vs. cons ~+40% YoY (Q2'26 core areas)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Permanent CFO / Head of Semi hire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0 of 2 filled vs. cons 0 of 2 filled (as of Q2 call)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(FADE)</w:t>
            </w:r>
          </w:p>
        </w:tc>
        <w:tc>
          <w:tcPr/>
          <w:p>
            <w:pPr>
              <w:pStyle w:val="Compact"/>
            </w:pPr>
            <w:r>
              <w:t xml:space="preserve">Stock is washed out into the print (~-24% from the June</w:t>
            </w:r>
            <w:r>
              <w:t xml:space="preserve"> </w:t>
            </w:r>
            <m:oMath>
              <m:r>
                <m:t>176</m:t>
              </m:r>
              <m:r>
                <m:t>p</m:t>
              </m:r>
              <m:r>
                <m:t>e</m:t>
              </m:r>
              <m:r>
                <m:t>a</m:t>
              </m:r>
              <m:r>
                <m:t>k</m:t>
              </m:r>
              <m:r>
                <m:rPr>
                  <m:sty m:val="p"/>
                </m:rPr>
                <m:t>,</m:t>
              </m:r>
              <m:r>
                <m:t>d</m:t>
              </m:r>
              <m:r>
                <m:t>o</m:t>
              </m:r>
              <m:r>
                <m:t>w</m:t>
              </m:r>
              <m:r>
                <m:t>n</m:t>
              </m:r>
              <m:r>
                <m:t>a</m:t>
              </m:r>
              <m:r>
                <m:t>g</m:t>
              </m:r>
              <m:r>
                <m:t>a</m:t>
              </m:r>
              <m:r>
                <m:t>i</m:t>
              </m:r>
              <m:r>
                <m:t>n</m:t>
              </m:r>
              <m:r>
                <m:t>t</m:t>
              </m:r>
              <m:r>
                <m:t>h</m:t>
              </m:r>
              <m:r>
                <m:t>r</m:t>
              </m:r>
              <m:r>
                <m:t>o</m:t>
              </m:r>
              <m:r>
                <m:t>u</m:t>
              </m:r>
              <m:r>
                <m:t>g</m:t>
              </m:r>
              <m:r>
                <m:t>h</m:t>
              </m:r>
              <m:r>
                <m:t>J</m:t>
              </m:r>
              <m:r>
                <m:t>u</m:t>
              </m:r>
              <m:r>
                <m:t>l</m:t>
              </m:r>
              <m:r>
                <m:t>y</m:t>
              </m:r>
              <m:r>
                <m:t>o</m:t>
              </m:r>
              <m:r>
                <m:t>n</m:t>
              </m:r>
              <m:r>
                <m:t>A</m:t>
              </m:r>
              <m:r>
                <m:t>I</m:t>
              </m:r>
              <m:r>
                <m:rPr>
                  <m:sty m:val="p"/>
                </m:rPr>
                <m:t>−</m:t>
              </m:r>
              <m:r>
                <m:t>d</m:t>
              </m:r>
              <m:r>
                <m:t>u</m:t>
              </m:r>
              <m:r>
                <m:t>r</m:t>
              </m:r>
              <m:r>
                <m:t>a</m:t>
              </m:r>
              <m:r>
                <m:t>b</m:t>
              </m:r>
              <m:r>
                <m:t>i</m:t>
              </m:r>
              <m:r>
                <m:t>l</m:t>
              </m:r>
              <m:r>
                <m:t>i</m:t>
              </m:r>
              <m:r>
                <m:t>t</m:t>
              </m:r>
              <m:r>
                <m:t>y</m:t>
              </m:r>
              <m:r>
                <m:t>j</m:t>
              </m:r>
              <m:r>
                <m:t>i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s</m:t>
              </m:r>
              <m:r>
                <m:t>à</m:t>
              </m:r>
              <m:r>
                <m:t>l</m:t>
              </m:r>
              <m:r>
                <m:t>a</m:t>
              </m:r>
              <m:r>
                <m:t>C</m:t>
              </m:r>
              <m:r>
                <m:t>o</m:t>
              </m:r>
              <m:r>
                <m:t>r</m:t>
              </m:r>
              <m:r>
                <m:t>n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−</m:t>
              </m:r>
              <m:r>
                <m:t>46</m:t>
              </m:r>
            </m:oMath>
            <w:r>
              <w:t xml:space="preserve">20M inflation guardrail. So implied per-quarter 2H run-rate revisions are limited even after the beat, and with sector 'durability of AI capex' nerves capping the multiple, the initial pop partially retraces — follow-through fades to ~+2% cumulative residual by day 5.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2026-08-04T00:16:36Z</dcterms:created>
  <dcterms:modified xsi:type="dcterms:W3CDTF">2026-08-04T00:16:36Z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