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Q is Qnity Electronics, the recent DuPont spinoff. Let me dig into the key documents.Let me pull recent stock performance and check for any analyst/consensus expectations and news.Let me grab recent sector/macro context to frame the setup.I now have what I need. Here's the earnings preview.</w:t>
      </w:r>
    </w:p>
    <w:p>
      <w:r>
        <w:pict>
          <v:rect style="width:0;height:1.5pt" o:hralign="center" o:hrstd="t" o:hr="t"/>
        </w:pict>
      </w:r>
    </w:p>
    <w:bookmarkStart w:id="19" w:name="X38de992464a0213fdb2e170769ccae34ce89134"/>
    <w:p>
      <w:pPr>
        <w:pStyle w:val="Heading1"/>
      </w:pPr>
      <w:r>
        <w:t xml:space="preserve">Qnity Electronics (NYSE: Q) — 2026 Q2 Earnings Preview</w:t>
      </w:r>
    </w:p>
    <w:bookmarkStart w:id="9" w:name="Xddd105a85c50dbfdfe44a7b2d51e4e5b6830e7e"/>
    <w:p>
      <w:pPr>
        <w:pStyle w:val="Heading3"/>
      </w:pPr>
      <w:r>
        <w:t xml:space="preserve">Report due before market open, Tuesday, August 4, 2026 | 2026Q2 Earnings Call</w:t>
      </w:r>
    </w:p>
    <w:bookmarkEnd w:id="9"/>
    <w:bookmarkStart w:id="10" w:name="the-one-line-setup"/>
    <w:p>
      <w:pPr>
        <w:pStyle w:val="Heading2"/>
      </w:pPr>
      <w:r>
        <w:t xml:space="preserve">The one-line setup</w:t>
      </w:r>
    </w:p>
    <w:p>
      <w:pPr>
        <w:pStyle w:val="FirstParagraph"/>
      </w:pPr>
      <w:r>
        <w:t xml:space="preserve">Qnity — the semiconductor &amp; advanced-electronics materials company spun out of DuPont in late 2025 — enters its Q2 print with genuine AI-driven momentum but a stock that has already round-tripped a huge rally. After eight straight quarters of double-digit organic growth and a guidance raise at Q1, the debate is no longer</w:t>
      </w:r>
      <w:r>
        <w:t xml:space="preserve"> </w:t>
      </w:r>
      <w:r>
        <w:rPr>
          <w:i/>
          <w:iCs/>
        </w:rPr>
        <w:t xml:space="preserve">whether</w:t>
      </w:r>
      <w:r>
        <w:t xml:space="preserve"> </w:t>
      </w:r>
      <w:r>
        <w:t xml:space="preserve">Qnity is growing, but whether the current pace (and a re-rated multiple) is sustainable into 2H26 against a noisier macro backdrop. Watch for a</w:t>
      </w:r>
      <w:r>
        <w:t xml:space="preserve"> </w:t>
      </w:r>
      <w:r>
        <w:rPr>
          <w:i/>
          <w:iCs/>
        </w:rPr>
        <w:t xml:space="preserve">second</w:t>
      </w:r>
      <w:r>
        <w:t xml:space="preserve"> </w:t>
      </w:r>
      <w:r>
        <w:t xml:space="preserve">guidance raise as the key sentiment driver.</w:t>
      </w:r>
    </w:p>
    <w:p>
      <w:r>
        <w:pict>
          <v:rect style="width:0;height:1.5pt" o:hralign="center" o:hrstd="t" o:hr="t"/>
        </w:pict>
      </w:r>
    </w:p>
    <w:bookmarkEnd w:id="10"/>
    <w:bookmarkStart w:id="11" w:name="Xc5ca7254b03ff3ccbaaa7284f1262dce4ed9b2e"/>
    <w:p>
      <w:pPr>
        <w:pStyle w:val="Heading2"/>
      </w:pPr>
      <w:r>
        <w:t xml:space="preserve">1. Where the stock sits going in</w:t>
      </w:r>
    </w:p>
    <w:p>
      <w:pPr>
        <w:pStyle w:val="Compact"/>
        <w:numPr>
          <w:ilvl w:val="0"/>
          <w:numId w:val="1001"/>
        </w:numPr>
      </w:pPr>
      <w:r>
        <w:t xml:space="preserve">Since its first full trading days post-spin (~</w:t>
      </w:r>
      <m:oMath>
        <m:r>
          <m:t>97</m:t>
        </m:r>
        <m:r>
          <m:t>i</m:t>
        </m:r>
        <m:r>
          <m:t>n</m:t>
        </m:r>
        <m:r>
          <m:t>e</m:t>
        </m:r>
        <m:r>
          <m:t>a</m:t>
        </m:r>
        <m:r>
          <m:t>r</m:t>
        </m:r>
        <m:r>
          <m:t>l</m:t>
        </m:r>
        <m:r>
          <m:t>y</m:t>
        </m:r>
        <m:r>
          <m:t>N</m:t>
        </m:r>
        <m:r>
          <m:t>o</m:t>
        </m:r>
        <m:r>
          <m:t>v</m:t>
        </m:r>
        <m:r>
          <m:t>e</m:t>
        </m:r>
        <m:r>
          <m:t>m</m:t>
        </m:r>
        <m:r>
          <m:t>b</m:t>
        </m:r>
        <m:r>
          <m:t>e</m:t>
        </m:r>
        <m:r>
          <m:t>r</m:t>
        </m:r>
        <m:r>
          <m:t>2025</m:t>
        </m:r>
        <m:r>
          <m:rPr>
            <m:sty m:val="p"/>
          </m:rPr>
          <m:t>)</m:t>
        </m:r>
        <m:r>
          <m:rPr>
            <m:sty m:val="p"/>
          </m:rPr>
          <m:t>,</m:t>
        </m:r>
        <m:r>
          <m:t>Q</m:t>
        </m:r>
        <m:r>
          <m:t>h</m:t>
        </m:r>
        <m:r>
          <m:t>a</m:t>
        </m:r>
        <m:r>
          <m:t>s</m:t>
        </m:r>
        <m:r>
          <m:t>c</m:t>
        </m:r>
        <m:r>
          <m:t>l</m:t>
        </m:r>
        <m:r>
          <m:t>i</m:t>
        </m:r>
        <m:r>
          <m:t>m</m:t>
        </m:r>
        <m:r>
          <m:t>b</m:t>
        </m:r>
        <m:r>
          <m:t>e</m:t>
        </m:r>
        <m:r>
          <m:t>d</m:t>
        </m:r>
        <m:r>
          <m:t>t</m:t>
        </m:r>
        <m:r>
          <m:t>o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 </m:t>
        </m:r>
      </m:oMath>
      <w:r>
        <w:t xml:space="preserve">133 (Aug 3 close)**, roughly</w:t>
      </w:r>
      <w:r>
        <w:t xml:space="preserve"> </w:t>
      </w:r>
      <w:r>
        <w:rPr>
          <w:b/>
          <w:bCs/>
        </w:rPr>
        <w:t xml:space="preserve">+37%</w:t>
      </w:r>
      <w:r>
        <w:t xml:space="preserve">, and is up ~57% from its early-January level.</w:t>
      </w:r>
    </w:p>
    <w:p>
      <w:pPr>
        <w:pStyle w:val="Compact"/>
        <w:numPr>
          <w:ilvl w:val="0"/>
          <w:numId w:val="1001"/>
        </w:numPr>
      </w:pPr>
      <w:r>
        <w:t xml:space="preserve">But the path was violent: shares bottomed near</w:t>
      </w:r>
      <w:r>
        <w:t xml:space="preserve"> </w:t>
      </w:r>
      <m:oMath>
        <m:r>
          <m:t>73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i</m:t>
        </m:r>
        <m:r>
          <m:t>n</m:t>
        </m:r>
        <m:r>
          <m:t>l</m:t>
        </m:r>
        <m:r>
          <m:t>a</m:t>
        </m:r>
        <m:r>
          <m:t>t</m:t>
        </m:r>
        <m:r>
          <m:t>e</m:t>
        </m:r>
        <m:r>
          <m:t>N</m:t>
        </m:r>
        <m:r>
          <m:t>o</m:t>
        </m:r>
        <m:r>
          <m:t>v</m:t>
        </m:r>
        <m:r>
          <m:t>e</m:t>
        </m:r>
        <m:r>
          <m:t>m</m:t>
        </m:r>
        <m:r>
          <m:t>b</m:t>
        </m:r>
        <m:r>
          <m:t>e</m:t>
        </m:r>
        <m:r>
          <m:t>r</m:t>
        </m:r>
        <m:r>
          <m:t>2025</m:t>
        </m:r>
        <m:r>
          <m:rPr>
            <m:sty m:val="p"/>
          </m:rPr>
          <m:t>,</m:t>
        </m:r>
        <m:r>
          <m:t>t</m:t>
        </m:r>
        <m:r>
          <m:t>h</m:t>
        </m:r>
        <m:r>
          <m:t>e</m:t>
        </m:r>
        <m:r>
          <m:t>n</m:t>
        </m:r>
        <m:r>
          <m:t>r</m:t>
        </m:r>
        <m:r>
          <m:t>a</m:t>
        </m:r>
        <m:r>
          <m:t>n</m:t>
        </m:r>
        <m:r>
          <m:t>t</m:t>
        </m:r>
        <m:r>
          <m:t>o</m:t>
        </m:r>
        <m:r>
          <m:t>a</m:t>
        </m:r>
        <m:r>
          <m:t>n</m:t>
        </m:r>
        <m:r>
          <m:t>a</m:t>
        </m:r>
        <m:r>
          <m:t>l</m:t>
        </m:r>
        <m:r>
          <m:t>l</m:t>
        </m:r>
        <m:r>
          <m:rPr>
            <m:sty m:val="p"/>
          </m:rPr>
          <m:t>−</m:t>
        </m:r>
        <m:r>
          <m:t>t</m:t>
        </m:r>
        <m:r>
          <m:t>i</m:t>
        </m:r>
        <m:r>
          <m:t>m</m:t>
        </m:r>
        <m:r>
          <m:t>e</m:t>
        </m:r>
        <m:r>
          <m:t>h</m:t>
        </m:r>
        <m:r>
          <m:t>i</m:t>
        </m:r>
        <m:r>
          <m:t>g</m:t>
        </m:r>
        <m:r>
          <m:t>h</m:t>
        </m:r>
        <m:r>
          <m:t>o</m:t>
        </m:r>
        <m:r>
          <m:t>f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 </m:t>
        </m:r>
      </m:oMath>
      <w:r>
        <w:rPr>
          <w:b/>
          <w:bCs/>
        </w:rPr>
        <w:t xml:space="preserve">176 on June 22, 2026</w:t>
      </w:r>
      <w:r>
        <w:t xml:space="preserve"> </w:t>
      </w:r>
      <w:r>
        <w:t xml:space="preserve">— and have since</w:t>
      </w:r>
      <w:r>
        <w:t xml:space="preserve"> </w:t>
      </w:r>
      <w:r>
        <w:rPr>
          <w:b/>
          <w:bCs/>
        </w:rPr>
        <w:t xml:space="preserve">pulled back ~24%</w:t>
      </w:r>
      <w:r>
        <w:t xml:space="preserve"> </w:t>
      </w:r>
      <w:r>
        <w:t xml:space="preserve">into this print.</w:t>
      </w:r>
    </w:p>
    <w:p>
      <w:pPr>
        <w:pStyle w:val="Compact"/>
        <w:numPr>
          <w:ilvl w:val="0"/>
          <w:numId w:val="1001"/>
        </w:numPr>
      </w:pPr>
      <w:r>
        <w:t xml:space="preserve">The Q1 report (May 12) was a clear positive catalyst — the stock gapped from ~</w:t>
      </w:r>
      <m:oMath>
        <m:r>
          <m:t>153</m:t>
        </m:r>
        <m:r>
          <m:t>t</m:t>
        </m:r>
        <m:r>
          <m:t>o</m:t>
        </m:r>
        <m:r>
          <m:t> </m:t>
        </m:r>
      </m:oMath>
      <w:r>
        <w:t xml:space="preserve">168 the day of results.</w:t>
      </w:r>
    </w:p>
    <w:p>
      <w:pPr>
        <w:pStyle w:val="FirstParagraph"/>
      </w:pPr>
      <w:r>
        <w:rPr>
          <w:b/>
          <w:bCs/>
        </w:rPr>
        <w:t xml:space="preserve">Read-through:</w:t>
      </w:r>
      <w:r>
        <w:t xml:space="preserve"> </w:t>
      </w:r>
      <w:r>
        <w:t xml:space="preserve">expectations are high but sentiment has cooled off the summer peak. A modest beat-and-raise may not be enough; the bar embedded in the June highs has already been partly de-risked by the July pullback. This is a "prove the durability" quarter.</w:t>
      </w:r>
    </w:p>
    <w:p>
      <w:r>
        <w:pict>
          <v:rect style="width:0;height:1.5pt" o:hralign="center" o:hrstd="t" o:hr="t"/>
        </w:pict>
      </w:r>
    </w:p>
    <w:bookmarkEnd w:id="11"/>
    <w:bookmarkStart w:id="12" w:name="X30bd77ba04a553b5257ba1496057ffc8c5d1474"/>
    <w:p>
      <w:pPr>
        <w:pStyle w:val="Heading2"/>
      </w:pPr>
      <w:r>
        <w:t xml:space="preserve">2. What Qnity guided for Q2 (the numbers to beat)</w:t>
      </w:r>
    </w:p>
    <w:p>
      <w:pPr>
        <w:pStyle w:val="FirstParagraph"/>
      </w:pPr>
      <w:r>
        <w:t xml:space="preserve">At Q1, management framed Q2 as a</w:t>
      </w:r>
      <w:r>
        <w:t xml:space="preserve"> </w:t>
      </w:r>
      <w:r>
        <w:rPr>
          <w:b/>
          <w:bCs/>
        </w:rPr>
        <w:t xml:space="preserve">normal seasonal step-up</w:t>
      </w:r>
      <w:r>
        <w:t xml:space="preserve">, with</w:t>
      </w:r>
      <w:r>
        <w:t xml:space="preserve"> </w:t>
      </w:r>
      <w:r>
        <w:rPr>
          <w:b/>
          <w:bCs/>
        </w:rPr>
        <w:t xml:space="preserve">sequential total net sales growth in the mid-single digits</w:t>
      </w:r>
      <w:r>
        <w:t xml:space="preserve"> </w:t>
      </w:r>
      <w:r>
        <w:t xml:space="preserve">(off a</w:t>
      </w:r>
      <w:r>
        <w:t xml:space="preserve"> </w:t>
      </w:r>
      <m:oMath>
        <m:r>
          <m:t>1</m:t>
        </m:r>
        <m:r>
          <m:rPr>
            <m:sty m:val="p"/>
          </m:rPr>
          <m:t>,</m:t>
        </m:r>
        <m:r>
          <m:t>315</m:t>
        </m:r>
        <m:r>
          <m:t>M</m:t>
        </m:r>
        <m:r>
          <m:t>Q</m:t>
        </m:r>
        <m:r>
          <m:t>1</m:t>
        </m:r>
        <m:r>
          <m:t>b</m:t>
        </m:r>
        <m:r>
          <m:t>a</m:t>
        </m:r>
        <m:r>
          <m:t>s</m:t>
        </m:r>
        <m:r>
          <m:t>e</m:t>
        </m:r>
        <m:r>
          <m:rPr>
            <m:sty m:val="p"/>
          </m:rPr>
          <m:t>→</m:t>
        </m:r>
        <m:r>
          <m:t>r</m:t>
        </m:r>
        <m:r>
          <m:t>o</m:t>
        </m:r>
        <m:r>
          <m:t>u</m:t>
        </m:r>
        <m:r>
          <m:t>g</m:t>
        </m:r>
        <m:r>
          <m:t>h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1.37–1.39B**). By segment: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Segment</w:t>
            </w:r>
          </w:p>
        </w:tc>
        <w:tc>
          <w:tcPr/>
          <w:p>
            <w:pPr>
              <w:pStyle w:val="Compact"/>
            </w:pPr>
            <w:r>
              <w:t xml:space="preserve">Q1'26 sales</w:t>
            </w:r>
          </w:p>
        </w:tc>
        <w:tc>
          <w:tcPr/>
          <w:p>
            <w:pPr>
              <w:pStyle w:val="Compact"/>
            </w:pPr>
            <w:r>
              <w:t xml:space="preserve">Q2 guide (sequential)</w:t>
            </w:r>
          </w:p>
        </w:tc>
        <w:tc>
          <w:tcPr/>
          <w:p>
            <w:pPr>
              <w:pStyle w:val="Compact"/>
            </w:pPr>
            <w:r>
              <w:t xml:space="preserve">Q2 margin guide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Semiconductor Technologies</w:t>
            </w:r>
          </w:p>
        </w:tc>
        <w:tc>
          <w:tcPr/>
          <w:p>
            <w:pPr>
              <w:pStyle w:val="Compact"/>
            </w:pPr>
            <w:r>
              <w:t xml:space="preserve">$722M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~flat</w:t>
            </w:r>
          </w:p>
        </w:tc>
        <w:tc>
          <w:tcPr/>
          <w:p>
            <w:pPr>
              <w:pStyle w:val="Compact"/>
            </w:pPr>
            <w:r>
              <w:t xml:space="preserve">mid-30s% EBITDA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Interconnect Solutions (ICS)</w:t>
            </w:r>
          </w:p>
        </w:tc>
        <w:tc>
          <w:tcPr/>
          <w:p>
            <w:pPr>
              <w:pStyle w:val="Compact"/>
            </w:pPr>
            <w:r>
              <w:t xml:space="preserve">$593M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high-single-digit growth</w:t>
            </w:r>
          </w:p>
        </w:tc>
        <w:tc>
          <w:tcPr/>
          <w:p>
            <w:pPr>
              <w:pStyle w:val="Compact"/>
            </w:pPr>
            <w:r>
              <w:t xml:space="preserve">mid-to-high 20s% EBITDA</w:t>
            </w:r>
          </w:p>
        </w:tc>
      </w:tr>
    </w:tbl>
    <w:p>
      <w:pPr>
        <w:pStyle w:val="BodyText"/>
      </w:pPr>
      <w:r>
        <w:t xml:space="preserve">The seasonal wrinkle: Q2 layers in</w:t>
      </w:r>
      <w:r>
        <w:t xml:space="preserve"> </w:t>
      </w:r>
      <w:r>
        <w:rPr>
          <w:b/>
          <w:bCs/>
        </w:rPr>
        <w:t xml:space="preserve">consumer-electronics build</w:t>
      </w:r>
      <w:r>
        <w:t xml:space="preserve">, which is a slight</w:t>
      </w:r>
      <w:r>
        <w:t xml:space="preserve"> </w:t>
      </w:r>
      <w:r>
        <w:rPr>
          <w:b/>
          <w:bCs/>
        </w:rPr>
        <w:t xml:space="preserve">negative mix</w:t>
      </w:r>
      <w:r>
        <w:t xml:space="preserve"> </w:t>
      </w:r>
      <w:r>
        <w:t xml:space="preserve">headwind for ICS even as volumes grow. Management also flagged</w:t>
      </w:r>
      <w:r>
        <w:t xml:space="preserve"> </w:t>
      </w:r>
      <w:r>
        <w:rPr>
          <w:b/>
          <w:bCs/>
        </w:rPr>
        <w:t xml:space="preserve">incremental hiring and investment</w:t>
      </w:r>
      <w:r>
        <w:t xml:space="preserve"> </w:t>
      </w:r>
      <w:r>
        <w:t xml:space="preserve">to support customer ramps — a near-term margin/cost watch item.</w:t>
      </w:r>
    </w:p>
    <w:p>
      <w:r>
        <w:pict>
          <v:rect style="width:0;height:1.5pt" o:hralign="center" o:hrstd="t" o:hr="t"/>
        </w:pict>
      </w:r>
    </w:p>
    <w:bookmarkEnd w:id="12"/>
    <w:bookmarkStart w:id="13" w:name="X5064d4a036fcf697ea1b55ec296131a93eb16b3"/>
    <w:p>
      <w:pPr>
        <w:pStyle w:val="Heading2"/>
      </w:pPr>
      <w:r>
        <w:t xml:space="preserve">3. Full-year guidance — and the case for another raise</w:t>
      </w:r>
    </w:p>
    <w:p>
      <w:pPr>
        <w:pStyle w:val="FirstParagraph"/>
      </w:pPr>
      <w:r>
        <w:t xml:space="preserve">At Q1, Qnity</w:t>
      </w:r>
      <w:r>
        <w:t xml:space="preserve"> </w:t>
      </w:r>
      <w:r>
        <w:rPr>
          <w:b/>
          <w:bCs/>
        </w:rPr>
        <w:t xml:space="preserve">raised FY26 guidance across every metric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FY26 Guidance</w:t>
            </w:r>
          </w:p>
        </w:tc>
        <w:tc>
          <w:tcPr/>
          <w:p>
            <w:pPr>
              <w:pStyle w:val="Compact"/>
            </w:pPr>
            <w:r>
              <w:t xml:space="preserve">Implied change (midpoint)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Net sales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$5.225B – $5.375B</w:t>
            </w:r>
          </w:p>
        </w:tc>
        <w:tc>
          <w:tcPr/>
          <w:p>
            <w:pPr>
              <w:pStyle w:val="Compact"/>
            </w:pPr>
            <w:r>
              <w:t xml:space="preserve">+5%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Adj. Operating EBITDA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$1.535B – $1.625B</w:t>
            </w:r>
          </w:p>
        </w:tc>
        <w:tc>
          <w:tcPr/>
          <w:p>
            <w:pPr>
              <w:pStyle w:val="Compact"/>
            </w:pPr>
            <w:r>
              <w:t xml:space="preserve">+4%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Adj. EPS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$3.80 – $4.14</w:t>
            </w:r>
          </w:p>
        </w:tc>
        <w:tc>
          <w:tcPr/>
          <w:p>
            <w:pPr>
              <w:pStyle w:val="Compact"/>
            </w:pPr>
            <w:r>
              <w:t xml:space="preserve">+6%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Adj. Free Cash Flow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$500M – $600M</w:t>
            </w:r>
          </w:p>
        </w:tc>
        <w:tc>
          <w:tcPr/>
          <w:p>
            <w:pPr>
              <w:pStyle w:val="Compact"/>
            </w:pPr>
            <w:r>
              <w:t xml:space="preserve">+10%</w:t>
            </w:r>
          </w:p>
        </w:tc>
      </w:tr>
    </w:tbl>
    <w:p>
      <w:pPr>
        <w:pStyle w:val="BodyText"/>
      </w:pPr>
      <w:r>
        <w:t xml:space="preserve">Crucially, they lifted the underlying</w:t>
      </w:r>
      <w:r>
        <w:t xml:space="preserve"> </w:t>
      </w:r>
      <w:r>
        <w:rPr>
          <w:b/>
          <w:bCs/>
        </w:rPr>
        <w:t xml:space="preserve">wafer-start (MSI) assumption from "mid-single-digit" to "mid-to-high-single-digit"</w:t>
      </w:r>
      <w:r>
        <w:t xml:space="preserve"> </w:t>
      </w:r>
      <w:r>
        <w:t xml:space="preserve">growth, and explicitly said the 2H inflation guardrail (~$20M raws/energy/logistics) is a</w:t>
      </w:r>
      <w:r>
        <w:t xml:space="preserve"> </w:t>
      </w:r>
      <w:r>
        <w:rPr>
          <w:i/>
          <w:iCs/>
        </w:rPr>
        <w:t xml:space="preserve">prudent/conservative</w:t>
      </w:r>
      <w:r>
        <w:t xml:space="preserve"> </w:t>
      </w:r>
      <w:r>
        <w:t xml:space="preserve">framing — CFO Mike Goss noted that if conditions improve "we have a chance to do even better."</w:t>
      </w:r>
      <w:r>
        <w:t xml:space="preserve"> </w:t>
      </w:r>
      <w:r>
        <w:rPr>
          <w:b/>
          <w:bCs/>
        </w:rPr>
        <w:t xml:space="preserve">A second raise is very much in play</w:t>
      </w:r>
      <w:r>
        <w:t xml:space="preserve"> </w:t>
      </w:r>
      <w:r>
        <w:t xml:space="preserve">and is probably the single biggest swing factor for the stock's reaction.</w:t>
      </w:r>
    </w:p>
    <w:p>
      <w:r>
        <w:pict>
          <v:rect style="width:0;height:1.5pt" o:hralign="center" o:hrstd="t" o:hr="t"/>
        </w:pict>
      </w:r>
    </w:p>
    <w:bookmarkEnd w:id="13"/>
    <w:bookmarkStart w:id="14" w:name="X1ea76f473b04300de45e3fc5d944d850dcb1aa3"/>
    <w:p>
      <w:pPr>
        <w:pStyle w:val="Heading2"/>
      </w:pPr>
      <w:r>
        <w:t xml:space="preserve">4. Segment dynamics — what's actually driving the model</w:t>
      </w:r>
    </w:p>
    <w:p>
      <w:pPr>
        <w:pStyle w:val="FirstParagraph"/>
      </w:pPr>
      <w:r>
        <w:rPr>
          <w:b/>
          <w:bCs/>
        </w:rPr>
        <w:t xml:space="preserve">Interconnect Solutions (ICS) is the story.</w:t>
      </w:r>
    </w:p>
    <w:p>
      <w:pPr>
        <w:pStyle w:val="Compact"/>
        <w:numPr>
          <w:ilvl w:val="0"/>
          <w:numId w:val="1002"/>
        </w:numPr>
      </w:pPr>
      <w:r>
        <w:t xml:space="preserve">Q1 organic growth was</w:t>
      </w:r>
      <w:r>
        <w:t xml:space="preserve"> </w:t>
      </w:r>
      <w:r>
        <w:rPr>
          <w:b/>
          <w:bCs/>
        </w:rPr>
        <w:t xml:space="preserve">+22% YoY</w:t>
      </w:r>
      <w:r>
        <w:t xml:space="preserve">, with the three key AI-levered areas —</w:t>
      </w:r>
      <w:r>
        <w:t xml:space="preserve"> </w:t>
      </w:r>
      <w:r>
        <w:rPr>
          <w:b/>
          <w:bCs/>
        </w:rPr>
        <w:t xml:space="preserve">advanced packaging, AI PCBs, and thermal management</w:t>
      </w:r>
      <w:r>
        <w:t xml:space="preserve"> </w:t>
      </w:r>
      <w:r>
        <w:t xml:space="preserve">— collectively</w:t>
      </w:r>
      <w:r>
        <w:t xml:space="preserve"> </w:t>
      </w:r>
      <w:r>
        <w:rPr>
          <w:b/>
          <w:bCs/>
        </w:rPr>
        <w:t xml:space="preserve">+50%+ YoY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ICS EBITDA margin hit a</w:t>
      </w:r>
      <w:r>
        <w:t xml:space="preserve"> </w:t>
      </w:r>
      <w:r>
        <w:rPr>
          <w:b/>
          <w:bCs/>
        </w:rPr>
        <w:t xml:space="preserve">record 28.5% (+280bps sequentially)</w:t>
      </w:r>
      <w:r>
        <w:t xml:space="preserve"> </w:t>
      </w:r>
      <w:r>
        <w:t xml:space="preserve">on operating leverage and favorable mix.</w:t>
      </w:r>
    </w:p>
    <w:p>
      <w:pPr>
        <w:pStyle w:val="Compact"/>
        <w:numPr>
          <w:ilvl w:val="0"/>
          <w:numId w:val="1002"/>
        </w:numPr>
      </w:pPr>
      <w:r>
        <w:t xml:space="preserve">The thesis ("shrink → stack"): taller chip stacks and denser AI printed circuit boards mean</w:t>
      </w:r>
      <w:r>
        <w:t xml:space="preserve"> </w:t>
      </w:r>
      <w:r>
        <w:rPr>
          <w:b/>
          <w:bCs/>
        </w:rPr>
        <w:t xml:space="preserve">more Qnity content per device</w:t>
      </w:r>
      <w:r>
        <w:t xml:space="preserve"> </w:t>
      </w:r>
      <w:r>
        <w:t xml:space="preserve">— higher layer counts, finer lines, more thermal material. AI PCB wins with hyperscaler fabs and premium smartphone OEMs are the "underappreciated" leg.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Watch:</w:t>
      </w:r>
      <w:r>
        <w:t xml:space="preserve"> </w:t>
      </w:r>
      <w:r>
        <w:t xml:space="preserve">can &gt;50% growth in the core areas persist, and does the record ICS margin hold despite consumer-electronics mix drag? Any hint the margin ceiling is higher would be a positive.</w:t>
      </w:r>
    </w:p>
    <w:p>
      <w:pPr>
        <w:pStyle w:val="FirstParagraph"/>
      </w:pPr>
      <w:r>
        <w:rPr>
          <w:b/>
          <w:bCs/>
        </w:rPr>
        <w:t xml:space="preserve">Semiconductor Technologies is the ballast.</w:t>
      </w:r>
    </w:p>
    <w:p>
      <w:pPr>
        <w:pStyle w:val="Compact"/>
        <w:numPr>
          <w:ilvl w:val="0"/>
          <w:numId w:val="1003"/>
        </w:numPr>
      </w:pPr>
      <w:r>
        <w:t xml:space="preserve">Q1 organic growth</w:t>
      </w:r>
      <w:r>
        <w:t xml:space="preserve"> </w:t>
      </w:r>
      <w:r>
        <w:rPr>
          <w:b/>
          <w:bCs/>
        </w:rPr>
        <w:t xml:space="preserve">+12% YoY</w:t>
      </w:r>
      <w:r>
        <w:t xml:space="preserve">, led by advanced logic + HBM; helped by ~$20M of mature-node</w:t>
      </w:r>
      <w:r>
        <w:t xml:space="preserve"> </w:t>
      </w:r>
      <w:r>
        <w:rPr>
          <w:b/>
          <w:bCs/>
        </w:rPr>
        <w:t xml:space="preserve">inventory restocking</w:t>
      </w:r>
      <w:r>
        <w:t xml:space="preserve"> </w:t>
      </w:r>
      <w:r>
        <w:t xml:space="preserve">(a Q1 seasonal pattern that won't repeat in Q2 — part of why Q2 is guided flat).</w:t>
      </w:r>
    </w:p>
    <w:p>
      <w:pPr>
        <w:pStyle w:val="Compact"/>
        <w:numPr>
          <w:ilvl w:val="0"/>
          <w:numId w:val="1003"/>
        </w:numPr>
      </w:pPr>
      <w:r>
        <w:t xml:space="preserve">Margin ~36.4% in Q1; management is comfortable defending</w:t>
      </w:r>
      <w:r>
        <w:t xml:space="preserve"> </w:t>
      </w:r>
      <w:r>
        <w:rPr>
          <w:b/>
          <w:bCs/>
        </w:rPr>
        <w:t xml:space="preserve">mid-30s</w:t>
      </w:r>
      <w:r>
        <w:t xml:space="preserve"> </w:t>
      </w:r>
      <w:r>
        <w:t xml:space="preserve">as a "healthy" level given the R&amp;D/quality investment leading-edge nodes require.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Watch:</w:t>
      </w:r>
      <w:r>
        <w:t xml:space="preserve"> </w:t>
      </w:r>
      <w:r>
        <w:t xml:space="preserve">3nm scaling,</w:t>
      </w:r>
      <w:r>
        <w:t xml:space="preserve"> </w:t>
      </w:r>
      <w:r>
        <w:rPr>
          <w:b/>
          <w:bCs/>
        </w:rPr>
        <w:t xml:space="preserve">early 2nm activity</w:t>
      </w:r>
      <w:r>
        <w:t xml:space="preserve">,</w:t>
      </w:r>
      <w:r>
        <w:t xml:space="preserve"> </w:t>
      </w:r>
      <w:r>
        <w:rPr>
          <w:b/>
          <w:bCs/>
        </w:rPr>
        <w:t xml:space="preserve">HBM4</w:t>
      </w:r>
      <w:r>
        <w:t xml:space="preserve"> </w:t>
      </w:r>
      <w:r>
        <w:t xml:space="preserve">commentary, and utilization trends — Q1 showed mature-logic utilization rising into the high-70s/low-80s and DRAM into the high-80s (potentially &gt;90% in 2H). Any acceleration in the mainstream/mature recovery is upside.</w:t>
      </w:r>
    </w:p>
    <w:p>
      <w:r>
        <w:pict>
          <v:rect style="width:0;height:1.5pt" o:hralign="center" o:hrstd="t" o:hr="t"/>
        </w:pict>
      </w:r>
    </w:p>
    <w:bookmarkEnd w:id="14"/>
    <w:bookmarkStart w:id="15" w:name="Xb8e4e7d4a8a372b0e2eeeab5fe780cc986bd4e5"/>
    <w:p>
      <w:pPr>
        <w:pStyle w:val="Heading2"/>
      </w:pPr>
      <w:r>
        <w:t xml:space="preserve">5. The macro cross-currents to weigh</w:t>
      </w:r>
    </w:p>
    <w:p>
      <w:pPr>
        <w:pStyle w:val="FirstParagraph"/>
      </w:pPr>
      <w:r>
        <w:t xml:space="preserve">The July tape is a mixed bag Qnity is reporting into: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Supportive:</w:t>
      </w:r>
      <w:r>
        <w:t xml:space="preserve"> </w:t>
      </w:r>
      <w:r>
        <w:t xml:space="preserve">Hyperscaler capex is still climbing (Amazon raised 2026 capex to ~$220B; Microsoft's data-center spend reassured investors), and memory strength is intact (Micron rallying on AI demand). ON Semiconductor just said AI data-center revenue will "more than double" in 2026. All bullish for Qnity's AI-materials content story.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Cautionary:</w:t>
      </w:r>
      <w:r>
        <w:t xml:space="preserve"> </w:t>
      </w:r>
      <w:r>
        <w:t xml:space="preserve">There are visible "durability of the AI trade" jitters —</w:t>
      </w:r>
      <w:r>
        <w:t xml:space="preserve"> </w:t>
      </w:r>
      <w:r>
        <w:rPr>
          <w:b/>
          <w:bCs/>
        </w:rPr>
        <w:t xml:space="preserve">Corning fell 46% in July</w:t>
      </w:r>
      <w:r>
        <w:t xml:space="preserve"> </w:t>
      </w:r>
      <w:r>
        <w:t xml:space="preserve">on hyperscaler-capex sustainability fears, and Nvidia has traded sideways. Qnity's own multiple is exposed to that sentiment.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Cost/geopolitics:</w:t>
      </w:r>
      <w:r>
        <w:t xml:space="preserve"> </w:t>
      </w:r>
      <w:r>
        <w:t xml:space="preserve">The ongoing</w:t>
      </w:r>
      <w:r>
        <w:t xml:space="preserve"> </w:t>
      </w:r>
      <w:r>
        <w:rPr>
          <w:b/>
          <w:bCs/>
        </w:rPr>
        <w:t xml:space="preserve">Iran/Middle East conflict</w:t>
      </w:r>
      <w:r>
        <w:t xml:space="preserve"> </w:t>
      </w:r>
      <w:r>
        <w:t xml:space="preserve">is pushing energy, raw-material and logistics costs up — the exact inputs behind Qnity's ~$20M 2H inflation guardrail. Management says it's offsetting via</w:t>
      </w:r>
      <w:r>
        <w:t xml:space="preserve"> </w:t>
      </w:r>
      <w:r>
        <w:rPr>
          <w:b/>
          <w:bCs/>
        </w:rPr>
        <w:t xml:space="preserve">targeted pricing</w:t>
      </w:r>
      <w:r>
        <w:t xml:space="preserve"> </w:t>
      </w:r>
      <w:r>
        <w:t xml:space="preserve">and its</w:t>
      </w:r>
      <w:r>
        <w:t xml:space="preserve"> </w:t>
      </w:r>
      <w:r>
        <w:rPr>
          <w:b/>
          <w:bCs/>
        </w:rPr>
        <w:t xml:space="preserve">local-for-local</w:t>
      </w:r>
      <w:r>
        <w:t xml:space="preserve"> </w:t>
      </w:r>
      <w:r>
        <w:t xml:space="preserve">model, and sees no near-term operational disruption. Watch for any change to that framing.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Memory/consumer:</w:t>
      </w:r>
      <w:r>
        <w:t xml:space="preserve"> </w:t>
      </w:r>
      <w:r>
        <w:t xml:space="preserve">Management argued memory-price inflation isn't hurting them because exposure skews</w:t>
      </w:r>
      <w:r>
        <w:t xml:space="preserve"> </w:t>
      </w:r>
      <w:r>
        <w:rPr>
          <w:b/>
          <w:bCs/>
        </w:rPr>
        <w:t xml:space="preserve">premium</w:t>
      </w:r>
      <w:r>
        <w:t xml:space="preserve"> </w:t>
      </w:r>
      <w:r>
        <w:t xml:space="preserve">and AI infrastructure more than offsets consumer softness — worth re-testing given Apple's weak September-quarter guide and general smartphone/PC caution.</w:t>
      </w:r>
    </w:p>
    <w:p>
      <w:r>
        <w:pict>
          <v:rect style="width:0;height:1.5pt" o:hralign="center" o:hrstd="t" o:hr="t"/>
        </w:pict>
      </w:r>
    </w:p>
    <w:bookmarkEnd w:id="15"/>
    <w:bookmarkStart w:id="16" w:name="X2db08f720caec0d415fe956b38cd4c301751f26"/>
    <w:p>
      <w:pPr>
        <w:pStyle w:val="Heading2"/>
      </w:pPr>
      <w:r>
        <w:t xml:space="preserve">6. Company-specific overhangs and housekeeping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Leadership gaps:</w:t>
      </w:r>
      <w:r>
        <w:t xml:space="preserve"> </w:t>
      </w:r>
      <w:r>
        <w:t xml:space="preserve">Qnity is still running with an</w:t>
      </w:r>
      <w:r>
        <w:t xml:space="preserve"> </w:t>
      </w:r>
      <w:r>
        <w:rPr>
          <w:b/>
          <w:bCs/>
        </w:rPr>
        <w:t xml:space="preserve">Interim CFO (Mike Goss)</w:t>
      </w:r>
      <w:r>
        <w:t xml:space="preserve"> </w:t>
      </w:r>
      <w:r>
        <w:t xml:space="preserve">and searching for a</w:t>
      </w:r>
      <w:r>
        <w:t xml:space="preserve"> </w:t>
      </w:r>
      <w:r>
        <w:rPr>
          <w:b/>
          <w:bCs/>
        </w:rPr>
        <w:t xml:space="preserve">permanent CFO and a Head of Semiconductor</w:t>
      </w:r>
      <w:r>
        <w:t xml:space="preserve">. Any announcement here is a de-risking event; continued vacancy is a lingering governance overhang.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Spin-off mechanics:</w:t>
      </w:r>
      <w:r>
        <w:t xml:space="preserve"> </w:t>
      </w:r>
      <w:r>
        <w:t xml:space="preserve">IT/TSA separation from DuPont is ongoing;</w:t>
      </w:r>
      <w:r>
        <w:t xml:space="preserve"> </w:t>
      </w:r>
      <w:r>
        <w:rPr>
          <w:b/>
          <w:bCs/>
        </w:rPr>
        <w:t xml:space="preserve">transformation, integration &amp; IT-independence charges</w:t>
      </w:r>
      <w:r>
        <w:t xml:space="preserve"> </w:t>
      </w:r>
      <w:r>
        <w:t xml:space="preserve">(~</w:t>
      </w:r>
      <m:oMath>
        <m:r>
          <m:t>28</m:t>
        </m:r>
        <m:r>
          <m:t>M</m:t>
        </m:r>
        <m:r>
          <m:t>i</m:t>
        </m:r>
        <m:r>
          <m:t>n</m:t>
        </m:r>
        <m:r>
          <m:t>Q</m:t>
        </m:r>
        <m:r>
          <m:t>1</m:t>
        </m:r>
        <m:r>
          <m:rPr>
            <m:sty m:val="p"/>
          </m:rPr>
          <m:t>)</m:t>
        </m:r>
        <m:r>
          <m:t>s</m:t>
        </m:r>
        <m:r>
          <m:t>t</m:t>
        </m:r>
        <m:r>
          <m:t>i</m:t>
        </m:r>
        <m:r>
          <m:t>l</m:t>
        </m:r>
        <m:r>
          <m:t>l</m:t>
        </m:r>
        <m:r>
          <m:t>w</m:t>
        </m:r>
        <m:r>
          <m:t>e</m:t>
        </m:r>
        <m:r>
          <m:t>i</m:t>
        </m:r>
        <m:r>
          <m:t>g</m:t>
        </m:r>
        <m:r>
          <m:t>h</m:t>
        </m:r>
        <m:r>
          <m:t>o</m:t>
        </m:r>
        <m:r>
          <m:t>n</m:t>
        </m:r>
        <m:r>
          <m:t>G</m:t>
        </m:r>
        <m:r>
          <m:t>A</m:t>
        </m:r>
        <m:r>
          <m:t>A</m:t>
        </m:r>
        <m:r>
          <m:t>P</m:t>
        </m:r>
        <m:r>
          <m:t>r</m:t>
        </m:r>
        <m:r>
          <m:t>e</m:t>
        </m:r>
        <m:r>
          <m:t>s</m:t>
        </m:r>
        <m:r>
          <m:t>u</m:t>
        </m:r>
        <m:r>
          <m:t>l</m:t>
        </m:r>
        <m:r>
          <m:t>t</m:t>
        </m:r>
        <m:r>
          <m:t>s</m:t>
        </m:r>
        <m:r>
          <m:rPr>
            <m:sty m:val="p"/>
          </m:rPr>
          <m:t>.</m:t>
        </m:r>
        <m:r>
          <m:t>T</m:t>
        </m:r>
        <m:r>
          <m:t>h</m:t>
        </m:r>
        <m:r>
          <m:t>e</m:t>
        </m:r>
        <m:r>
          <m:t>t</m:t>
        </m:r>
        <m:r>
          <m:t>r</m:t>
        </m:r>
        <m:r>
          <m:t>a</m:t>
        </m:r>
        <m:r>
          <m:t>n</m:t>
        </m:r>
        <m:r>
          <m:t>s</m:t>
        </m:r>
        <m:r>
          <m:t>f</m:t>
        </m:r>
        <m:r>
          <m:t>o</m:t>
        </m:r>
        <m:r>
          <m:t>r</m:t>
        </m:r>
        <m:r>
          <m:t>m</m:t>
        </m:r>
        <m:r>
          <m:t>a</m:t>
        </m:r>
        <m:r>
          <m:t>t</m:t>
        </m:r>
        <m:r>
          <m:t>i</m:t>
        </m:r>
        <m:r>
          <m:t>o</m:t>
        </m:r>
        <m:r>
          <m:t>n</m:t>
        </m:r>
        <m:r>
          <m:t>p</m:t>
        </m:r>
        <m:r>
          <m:t>l</m:t>
        </m:r>
        <m:r>
          <m:t>a</m:t>
        </m:r>
        <m:r>
          <m:t>n</m:t>
        </m:r>
        <m:r>
          <m:t>t</m:t>
        </m:r>
        <m:r>
          <m:t>a</m:t>
        </m:r>
        <m:r>
          <m:t>r</m:t>
        </m:r>
        <m:r>
          <m:t>g</m:t>
        </m:r>
        <m:r>
          <m:t>e</m:t>
        </m:r>
        <m:r>
          <m:t>t</m:t>
        </m:r>
        <m:r>
          <m:t>s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 </m:t>
        </m:r>
      </m:oMath>
      <w:r>
        <w:t xml:space="preserve">100M EBITDA run-rate benefit by end-2028** — watch for progress markers.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GAAP vs. adjusted gap is wide:</w:t>
      </w:r>
      <w:r>
        <w:t xml:space="preserve"> </w:t>
      </w:r>
      <w:r>
        <w:t xml:space="preserve">Q1 GAAP EPS was **</w:t>
      </w:r>
      <m:oMath>
        <m:r>
          <m:t>0.72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(</m:t>
        </m:r>
        <m:r>
          <m:t>d</m:t>
        </m:r>
        <m:r>
          <m:t>o</m:t>
        </m:r>
        <m:r>
          <m:t>w</m:t>
        </m:r>
        <m:r>
          <m:t>n</m:t>
        </m:r>
        <m:r>
          <m:t>Y</m:t>
        </m:r>
        <m:r>
          <m:t>o</m:t>
        </m:r>
        <m:r>
          <m:t>Y</m:t>
        </m:r>
        <m:r>
          <m:rPr>
            <m:sty m:val="p"/>
          </m:rPr>
          <m:t>,</m:t>
        </m:r>
        <m:r>
          <m:t>d</m:t>
        </m:r>
        <m:r>
          <m:t>r</m:t>
        </m:r>
        <m:r>
          <m:t>a</m:t>
        </m:r>
        <m:r>
          <m:t>g</m:t>
        </m:r>
        <m:r>
          <m:t>g</m:t>
        </m:r>
        <m:r>
          <m:t>e</m:t>
        </m:r>
        <m:r>
          <m:t>d</m:t>
        </m:r>
        <m:r>
          <m:t>b</m:t>
        </m:r>
        <m:r>
          <m:t>y</m:t>
        </m:r>
        <m:r>
          <m:t>n</m:t>
        </m:r>
        <m:r>
          <m:t>e</m:t>
        </m:r>
        <m:r>
          <m:t>w</m:t>
        </m:r>
        <m:r>
          <m:t>s</m:t>
        </m:r>
        <m:r>
          <m:t>t</m:t>
        </m:r>
        <m:r>
          <m:t>a</m:t>
        </m:r>
        <m:r>
          <m:t>n</m:t>
        </m:r>
        <m:r>
          <m:t>d</m:t>
        </m:r>
        <m:r>
          <m:t>a</m:t>
        </m:r>
        <m:r>
          <m:t>l</m:t>
        </m:r>
        <m:r>
          <m:t>o</m:t>
        </m:r>
        <m:r>
          <m:t>n</m:t>
        </m:r>
        <m:r>
          <m:t>e</m:t>
        </m:r>
        <m:r>
          <m:t>i</m:t>
        </m:r>
        <m:r>
          <m:t>n</m:t>
        </m:r>
        <m:r>
          <m:t>t</m:t>
        </m:r>
        <m:r>
          <m:t>e</m:t>
        </m:r>
        <m:r>
          <m:t>r</m:t>
        </m:r>
        <m:r>
          <m:t>e</m:t>
        </m:r>
        <m:r>
          <m:t>s</m:t>
        </m:r>
        <m:r>
          <m:t>t</m:t>
        </m:r>
        <m:r>
          <m:t>e</m:t>
        </m:r>
        <m:r>
          <m:t>x</m:t>
        </m:r>
        <m:r>
          <m:t>p</m:t>
        </m:r>
        <m:r>
          <m:t>e</m:t>
        </m:r>
        <m:r>
          <m:t>n</m:t>
        </m:r>
        <m:r>
          <m:t>s</m:t>
        </m:r>
        <m:r>
          <m:t>e</m:t>
        </m:r>
        <m:r>
          <m:t>o</m:t>
        </m:r>
        <m:r>
          <m:t>f</m:t>
        </m:r>
        <m:r>
          <m:t> </m:t>
        </m:r>
      </m:oMath>
      <w:r>
        <w:t xml:space="preserve">61M/qtr and amortization) versus</w:t>
      </w:r>
      <w:r>
        <w:t xml:space="preserve"> </w:t>
      </w:r>
      <w:r>
        <w:rPr>
          <w:b/>
          <w:bCs/>
        </w:rPr>
        <w:t xml:space="preserve">$1.08 adjusted</w:t>
      </w:r>
      <w:r>
        <w:t xml:space="preserve">. Expect the same optics; focus on adjusted metrics and the interest line.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Free cash flow is back-half loaded:</w:t>
      </w:r>
      <w:r>
        <w:t xml:space="preserve"> </w:t>
      </w:r>
      <w:r>
        <w:t xml:space="preserve">Q1 adjusted FCF was only</w:t>
      </w:r>
      <w:r>
        <w:t xml:space="preserve"> </w:t>
      </w:r>
      <w:r>
        <w:rPr>
          <w:b/>
          <w:bCs/>
        </w:rPr>
        <w:t xml:space="preserve">$28M</w:t>
      </w:r>
      <w:r>
        <w:t xml:space="preserve"> </w:t>
      </w:r>
      <w:r>
        <w:t xml:space="preserve">(annual comp + elevated capex — capex guided ~9% of sales in FY26, including the new Taiwan build). The $500–600M FY guide implies a</w:t>
      </w:r>
      <w:r>
        <w:t xml:space="preserve"> </w:t>
      </w:r>
      <w:r>
        <w:rPr>
          <w:b/>
          <w:bCs/>
        </w:rPr>
        <w:t xml:space="preserve">heavy 2H ramp</w:t>
      </w:r>
      <w:r>
        <w:t xml:space="preserve"> </w:t>
      </w:r>
      <w:r>
        <w:t xml:space="preserve">— cash conversion cadence is worth scrutinizing.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Balance sheet:</w:t>
      </w:r>
      <w:r>
        <w:t xml:space="preserve"> </w:t>
      </w:r>
      <w:r>
        <w:t xml:space="preserve">~</w:t>
      </w:r>
      <m:oMath>
        <m:r>
          <m:t>850</m:t>
        </m:r>
        <m:r>
          <m:t>M</m:t>
        </m:r>
        <m:r>
          <m:t>c</m:t>
        </m:r>
        <m:r>
          <m:t>a</m:t>
        </m:r>
        <m:r>
          <m:t>s</m:t>
        </m:r>
        <m:r>
          <m:t>h</m:t>
        </m:r>
        <m:r>
          <m:rPr>
            <m:sty m:val="p"/>
          </m:rPr>
          <m:t>/</m:t>
        </m:r>
        <m:r>
          <m:t>S</m:t>
        </m:r>
        <m:r>
          <m:t>T</m:t>
        </m:r>
        <m:r>
          <m:t>i</m:t>
        </m:r>
        <m:r>
          <m:t>n</m:t>
        </m:r>
        <m:r>
          <m:t>v</m:t>
        </m:r>
        <m:r>
          <m:t>e</m:t>
        </m:r>
        <m:r>
          <m:t>s</m:t>
        </m:r>
        <m:r>
          <m:t>t</m:t>
        </m:r>
        <m:r>
          <m:t>m</m:t>
        </m:r>
        <m:r>
          <m:t>e</m:t>
        </m:r>
        <m:r>
          <m:t>n</m:t>
        </m:r>
        <m:r>
          <m:t>t</m:t>
        </m:r>
        <m:r>
          <m:t>s</m:t>
        </m:r>
        <m:r>
          <m:rPr>
            <m:sty m:val="p"/>
          </m:rPr>
          <m:t>,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4B debt, ~2.2x net leverage.** Capital returns are modest — quarterly dividend plus ~$25M buyback in Q1 (dilution offset only).</w:t>
      </w:r>
    </w:p>
    <w:p>
      <w:r>
        <w:pict>
          <v:rect style="width:0;height:1.5pt" o:hralign="center" o:hrstd="t" o:hr="t"/>
        </w:pict>
      </w:r>
    </w:p>
    <w:bookmarkEnd w:id="16"/>
    <w:bookmarkStart w:id="17" w:name="X933886a3ca9afe699f0d87ad3904e2c10abb25e"/>
    <w:p>
      <w:pPr>
        <w:pStyle w:val="Heading2"/>
      </w:pPr>
      <w:r>
        <w:t xml:space="preserve">7. What I'll be watching most closely on the call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Does FY26 guidance get raised again?</w:t>
      </w:r>
      <w:r>
        <w:t xml:space="preserve"> </w:t>
      </w:r>
      <w:r>
        <w:t xml:space="preserve">(And does the MSI assumption move higher?) This is the primary stock driver.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ICS trajectory</w:t>
      </w:r>
      <w:r>
        <w:t xml:space="preserve"> </w:t>
      </w:r>
      <w:r>
        <w:t xml:space="preserve">— sustainability of the &gt;50% growth in advanced packaging/thermal/AI PCB, and whether management nudges up the segment's growth/margin framing.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Margins into the seasonal mix shift</w:t>
      </w:r>
      <w:r>
        <w:t xml:space="preserve"> </w:t>
      </w:r>
      <w:r>
        <w:t xml:space="preserve">— can ICS hold ~28%+ and Semi hold mid-30s while absorbing new hiring/investment?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Cost inflation &amp; pricing</w:t>
      </w:r>
      <w:r>
        <w:t xml:space="preserve"> </w:t>
      </w:r>
      <w:r>
        <w:t xml:space="preserve">— any change to the ~$20M 2H guardrail as the Middle East situation evolves.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CFO / Head of Semiconductor hires.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2H FCF cadence</w:t>
      </w:r>
      <w:r>
        <w:t xml:space="preserve"> </w:t>
      </w:r>
      <w:r>
        <w:t xml:space="preserve">and capex timing (Taiwan facility, Delaware ramp).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Forward AI-content commentary</w:t>
      </w:r>
      <w:r>
        <w:t xml:space="preserve"> </w:t>
      </w:r>
      <w:r>
        <w:t xml:space="preserve">— 2nm, HBM4, Angstrom-era node PoR wins, and the NVIDIA/Apple collaboration follow-through.</w:t>
      </w:r>
    </w:p>
    <w:p>
      <w:r>
        <w:pict>
          <v:rect style="width:0;height:1.5pt" o:hralign="center" o:hrstd="t" o:hr="t"/>
        </w:pict>
      </w:r>
    </w:p>
    <w:bookmarkEnd w:id="17"/>
    <w:bookmarkStart w:id="18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Qnity has been executing near-flawlessly — record quarter, raised guide, and a differentiated "shrink-to-stack" AI-materials story with ICS as the standout. The setup for Q2 is a likely</w:t>
      </w:r>
      <w:r>
        <w:t xml:space="preserve"> </w:t>
      </w:r>
      <w:r>
        <w:rPr>
          <w:b/>
          <w:bCs/>
        </w:rPr>
        <w:t xml:space="preserve">beat with an upward FY bias</w:t>
      </w:r>
      <w:r>
        <w:t xml:space="preserve">, given how conservatively 2H was framed. The risk is</w:t>
      </w:r>
      <w:r>
        <w:t xml:space="preserve"> </w:t>
      </w:r>
      <w:r>
        <w:rPr>
          <w:b/>
          <w:bCs/>
        </w:rPr>
        <w:t xml:space="preserve">expectations and the multiple</w:t>
      </w:r>
      <w:r>
        <w:t xml:space="preserve">: shares ran too far into June and are now consolidating. To re-ignite the stock, the market will likely want (a) another explicit guidance raise, (b) confirmation ICS momentum isn't decelerating, and (c) some resolution of the CFO/Semi-head leadership overhang. Absent a raise, a solid-but-in-line print could be sold given lingering "AI-trade durability" nerves visible elsewhere in the group.</w:t>
      </w:r>
    </w:p>
    <w:p>
      <w:pPr>
        <w:pStyle w:val="BodyText"/>
      </w:pPr>
      <w:r>
        <w:rPr>
          <w:i/>
          <w:iCs/>
        </w:rPr>
        <w:t xml:space="preserve">Preview based on Qnity's Q1'26 earnings release and call (May 12, 2026), FY26 guidance, market pricing through Aug 3, 2026, and the prevailing tech/semis macro backdrop. Not investment advice.</w:t>
      </w:r>
    </w:p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2026-08-04T00:16:36Z</dcterms:created>
  <dcterms:modified xsi:type="dcterms:W3CDTF">2026-08-04T00:16:36Z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