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q-earnings-predictions--2026-08-04"/>
    <w:p>
      <w:pPr>
        <w:pStyle w:val="Heading1"/>
      </w:pPr>
      <w:r>
        <w:t xml:space="preserve">Q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~$1.11-1.13 vs. cons $1.07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1.37</m:t>
              </m:r>
              <m:r>
                <m:rPr>
                  <m:sty m:val="p"/>
                </m:rPr>
                <m:t>−</m:t>
              </m:r>
              <m:r>
                <m:t>1.38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1.355B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ICS Segment Adj. EBITDA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~25.5-26.5% vs. cons ~27.5% (mid-to-high-20s guide framework)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Sales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reaffirmed ~</w:t>
            </w:r>
            <m:oMath>
              <m:r>
                <m:t>5.225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5.375B (mid ~</w:t>
            </w:r>
            <m:oMath>
              <m:r>
                <m:t>5.30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5.15B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reaffirmed ~</w:t>
            </w:r>
            <m:oMath>
              <m:r>
                <m:t>3.80</m:t>
              </m:r>
              <m:r>
                <m:rPr>
                  <m:sty m:val="p"/>
                </m:rPr>
                <m:t>−</m:t>
              </m:r>
            </m:oMath>
            <w:r>
              <w:t xml:space="preserve">4.14 (mid ~</w:t>
            </w:r>
            <m:oMath>
              <m:r>
                <m:t>3.97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3.85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sequential Net Sales framework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1.43</m:t>
              </m:r>
              <m:r>
                <m:rPr>
                  <m:sty m:val="p"/>
                </m:rPr>
                <m:t>−</m:t>
              </m:r>
              <m:r>
                <m:t>1.46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t>o</m:t>
              </m:r>
              <m:r>
                <m:t>n</m:t>
              </m:r>
              <m:r>
                <m:t>t</m:t>
              </m:r>
              <m:r>
                <m:t>i</m:t>
              </m:r>
              <m:r>
                <m:t>n</m:t>
              </m:r>
              <m:r>
                <m:t>u</m:t>
              </m:r>
              <m:r>
                <m:t>e</m:t>
              </m:r>
              <m:r>
                <m:t>d</m:t>
              </m:r>
              <m:r>
                <m:t>h</m:t>
              </m:r>
              <m:r>
                <m:t>i</m:t>
              </m:r>
              <m:r>
                <m:t>g</m:t>
              </m:r>
              <m:r>
                <m:t>h</m:t>
              </m:r>
              <m:r>
                <m:rPr>
                  <m:sty m:val="p"/>
                </m:rPr>
                <m:t>−</m:t>
              </m:r>
              <m:r>
                <m:t>s</m:t>
              </m:r>
              <m:r>
                <m:t>i</m:t>
              </m:r>
              <m:r>
                <m:t>n</m:t>
              </m:r>
              <m:r>
                <m:t>g</m:t>
              </m:r>
              <m:r>
                <m:t>l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d</m:t>
              </m:r>
              <m:r>
                <m:t>i</m:t>
              </m:r>
              <m:r>
                <m:t>g</m:t>
              </m:r>
              <m:r>
                <m:t>i</m:t>
              </m:r>
              <m:r>
                <m:t>t</m:t>
              </m:r>
              <m:r>
                <m:t>I</m:t>
              </m:r>
              <m:r>
                <m:t>C</m:t>
              </m:r>
              <m:r>
                <m:t>S</m:t>
              </m:r>
              <m:r>
                <m:rPr>
                  <m:sty m:val="p"/>
                </m:rPr>
                <m:t>/</m:t>
              </m:r>
              <m:r>
                <m:t>s</m:t>
              </m:r>
              <m:r>
                <m:t>e</m:t>
              </m:r>
              <m:r>
                <m:t>a</m:t>
              </m:r>
              <m:r>
                <m:t>s</m:t>
              </m:r>
              <m:r>
                <m:t>o</m:t>
              </m:r>
              <m:r>
                <m:t>n</m:t>
              </m:r>
              <m:r>
                <m:t>a</m:t>
              </m:r>
              <m:r>
                <m:t>l</m:t>
              </m:r>
              <m:r>
                <m:t>b</m:t>
              </m:r>
              <m:r>
                <m:t>u</m:t>
              </m:r>
              <m:r>
                <m:t>i</m:t>
              </m:r>
              <m:r>
                <m:t>l</m:t>
              </m:r>
              <m:r>
                <m:t>d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1.42B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raw material/logistics inflation offset ($20M) &amp; ICS mix/hiring drag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20</m:t>
              </m:r>
              <m:r>
                <m:t>M</m:t>
              </m:r>
              <m:r>
                <m:t>c</m:t>
              </m:r>
              <m:r>
                <m:t>o</m:t>
              </m:r>
              <m:r>
                <m:t>s</m:t>
              </m:r>
              <m:r>
                <m:t>t</m:t>
              </m:r>
              <m:r>
                <m:t>h</m:t>
              </m:r>
              <m:r>
                <m:t>e</m:t>
              </m:r>
              <m:r>
                <m:t>a</m:t>
              </m:r>
              <m:r>
                <m:t>d</m:t>
              </m:r>
              <m:r>
                <m:t>w</m:t>
              </m:r>
              <m:r>
                <m:t>i</m:t>
              </m:r>
              <m:r>
                <m:t>n</m:t>
              </m:r>
              <m:r>
                <m:t>d</m:t>
              </m:r>
              <m:r>
                <m:t>l</m:t>
              </m:r>
              <m:r>
                <m:t>a</m:t>
              </m:r>
              <m:r>
                <m:t>r</m:t>
              </m:r>
              <m:r>
                <m:t>g</m:t>
              </m:r>
              <m:r>
                <m:t>e</m:t>
              </m:r>
              <m:r>
                <m:t>l</m:t>
              </m:r>
              <m:r>
                <m:t>y</m:t>
              </m:r>
              <m:r>
                <m:t>o</m:t>
              </m:r>
              <m:r>
                <m:t>f</m:t>
              </m:r>
              <m:r>
                <m:t>f</m:t>
              </m:r>
              <m:r>
                <m:t>s</m:t>
              </m:r>
              <m:r>
                <m:t>e</m:t>
              </m:r>
              <m:r>
                <m:t>t</m:t>
              </m:r>
              <m:r>
                <m:t>v</m:t>
              </m:r>
              <m:r>
                <m:t>i</m:t>
              </m:r>
              <m:r>
                <m:t>a</m:t>
              </m:r>
              <m:r>
                <m:t>p</m:t>
              </m:r>
              <m:r>
                <m:t>r</m:t>
              </m:r>
              <m:r>
                <m:t>i</m:t>
              </m:r>
              <m:r>
                <m:t>c</m:t>
              </m:r>
              <m:r>
                <m:t>i</m:t>
              </m:r>
              <m:r>
                <m:t>n</m:t>
              </m:r>
              <m:sSup>
                <m:e>
                  <m:r>
                    <m:t>g</m:t>
                  </m:r>
                </m:e>
                <m:sup>
                  <m:r>
                    <m:rPr>
                      <m:sty m:val="p"/>
                    </m:rPr>
                    <m:t>′</m:t>
                  </m:r>
                </m:sup>
              </m:sSup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t</m:t>
              </m:r>
              <m:r>
                <m:t>i</m:t>
              </m:r>
              <m:r>
                <m:t>m</m:t>
              </m:r>
              <m:r>
                <m:t>i</m:t>
              </m:r>
              <m:r>
                <m:t>n</m:t>
              </m:r>
              <m:r>
                <m:t>g</m:t>
              </m:r>
              <m:r>
                <m:t>v</m:t>
              </m:r>
              <m:r>
                <m:t>a</m:t>
              </m:r>
              <m:r>
                <m:t>r</m:t>
              </m:r>
              <m:r>
                <m:t>i</m:t>
              </m:r>
              <m:r>
                <m:t>a</m:t>
              </m:r>
              <m:r>
                <m:t>b</m:t>
              </m:r>
              <m:r>
                <m:t>i</m:t>
              </m:r>
              <m:r>
                <m:t>l</m:t>
              </m:r>
              <m:r>
                <m:t>i</m:t>
              </m:r>
              <m:r>
                <m:t>t</m:t>
              </m:r>
              <m:sSup>
                <m:e>
                  <m:r>
                    <m:t>y</m:t>
                  </m:r>
                </m:e>
                <m:sup>
                  <m:r>
                    <m:rPr>
                      <m:sty m:val="p"/>
                    </m:rPr>
                    <m:t>′</m:t>
                  </m:r>
                </m:sup>
              </m:sSup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a</m:t>
              </m:r>
              <m:r>
                <m:t>s</m:t>
              </m:r>
              <m:r>
                <m:t>s</m:t>
              </m:r>
              <m:r>
                <m:t>u</m:t>
              </m:r>
              <m:r>
                <m:t>m</m:t>
              </m:r>
              <m:r>
                <m:t>i</m:t>
              </m:r>
              <m:r>
                <m:t>n</m:t>
              </m:r>
              <m:r>
                <m:t>g</m:t>
              </m:r>
              <m:r>
                <m:t> </m:t>
              </m:r>
            </m:oMath>
            <w:r>
              <w:t xml:space="preserve">0 incremental drag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-0.9% (FADE)</w:t>
            </w:r>
          </w:p>
        </w:tc>
        <w:tc>
          <w:tcPr/>
          <w:p>
            <w:pPr>
              <w:pStyle w:val="Compact"/>
            </w:pPr>
            <w:r>
              <w:t xml:space="preserve">A likely EPS/revenue beat in line with Qnity's established beat-and-raise pattern should drive an initial positive pop, but the out-period math argues for fade: management is expected to reaffirm (not re-raise) FY26 guidance just one quarter after already raising it, ICS margin likely comes in soft on consumer-electronics mix/hiring drag exactly as flagged, and the $20M H2 raw-material/logistics headwind with 'timing variability' on pricing offsets creates implicit downside risk to H2 EBITDA estimates. Combined with a still-stretched ~38x forward P/E and a broader memory/semiconductor sector selloff (CXMT competition, circular AI-financing worries) that remains an overhang independent of Qnity's own results, sell-side is likely to trim H2 numbers modestly even after a headline beat, capping follow-through and pulling the stock back toward pre-print levels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2026-08-04T00:23:04Z</dcterms:created>
  <dcterms:modified xsi:type="dcterms:W3CDTF">2026-08-04T00:23:04Z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