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687ce5843f9ab7d46ab9fa4a15ec73bf1cee6e9"/>
    <w:p>
      <w:pPr>
        <w:pStyle w:val="Heading1"/>
      </w:pPr>
      <w:r>
        <w:t xml:space="preserve">Qnity Electronics, Inc. (NYSE: Q)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 (before market open), with conference call at 8:00 a.m. ET</w:t>
      </w:r>
    </w:p>
    <w:bookmarkStart w:id="9" w:name="company-snapshot"/>
    <w:p>
      <w:pPr>
        <w:pStyle w:val="Heading2"/>
      </w:pPr>
      <w:r>
        <w:t xml:space="preserve">Company Snapshot</w:t>
      </w:r>
    </w:p>
    <w:p>
      <w:pPr>
        <w:pStyle w:val="FirstParagraph"/>
      </w:pPr>
      <w:r>
        <w:t xml:space="preserve">Qnity Electronics is the pure-play semiconductor materials and interconnect business that was spun off from DuPont in November 2025. The company operates two segments:</w:t>
      </w:r>
      <w:r>
        <w:t xml:space="preserve"> </w:t>
      </w:r>
      <w:r>
        <w:rPr>
          <w:b/>
          <w:bCs/>
        </w:rPr>
        <w:t xml:space="preserve">Semiconductor Technologies</w:t>
      </w:r>
      <w:r>
        <w:t xml:space="preserve"> </w:t>
      </w:r>
      <w:r>
        <w:t xml:space="preserve">(CMP pads/slurries, photoresists, cleans, lithography materials) and</w:t>
      </w:r>
      <w:r>
        <w:t xml:space="preserve"> </w:t>
      </w:r>
      <w:r>
        <w:rPr>
          <w:b/>
          <w:bCs/>
        </w:rPr>
        <w:t xml:space="preserve">Interconnect Solutions</w:t>
      </w:r>
      <w:r>
        <w:t xml:space="preserve"> </w:t>
      </w:r>
      <w:r>
        <w:t xml:space="preserve">(advanced packaging, AI PCB metallization, thermal management materials). Qnity is a premier technology provider across the semiconductor value chain, empowering AI, high performance computing, and advanced connectivity. Since the spin-off, the stock has been one of the market's stronger AI-adjacent performers, though it has pulled back sharply from its June/July highs amid a broader semiconductor and memory sector selloff.</w:t>
      </w:r>
    </w:p>
    <w:bookmarkEnd w:id="9"/>
    <w:bookmarkStart w:id="10" w:name="setting-the-stage-a-blowout-q1"/>
    <w:p>
      <w:pPr>
        <w:pStyle w:val="Heading2"/>
      </w:pPr>
      <w:r>
        <w:t xml:space="preserve">Setting the Stage: A Blowout Q1</w:t>
      </w:r>
    </w:p>
    <w:p>
      <w:pPr>
        <w:pStyle w:val="FirstParagraph"/>
      </w:pPr>
      <w:r>
        <w:t xml:space="preserve">Qnity's first-quarter 2026 print (reported May 12) was the key positive catalyst heading into this report. Qnity had a tremendous start to the year, outperforming expectations and delivering its eighth consecutive quarter of strong profitable organic growth with double-digit gains in both segments. Specifically:</w:t>
      </w:r>
    </w:p>
    <w:p>
      <w:pPr>
        <w:pStyle w:val="Compact"/>
        <w:numPr>
          <w:ilvl w:val="0"/>
          <w:numId w:val="1001"/>
        </w:numPr>
      </w:pPr>
      <w:r>
        <w:t xml:space="preserve">Net sales of</w:t>
      </w:r>
      <w:r>
        <w:t xml:space="preserve"> </w:t>
      </w:r>
      <w:r>
        <w:rPr>
          <w:b/>
          <w:bCs/>
        </w:rPr>
        <w:t xml:space="preserve">$1.315B</w:t>
      </w:r>
      <w:r>
        <w:t xml:space="preserve">, up 18% y/y (17% organic), with Semiconductor Technologies at $722M (+12% organic) and Interconnect Solutions at $593M (+22% organic).</w:t>
      </w:r>
    </w:p>
    <w:p>
      <w:pPr>
        <w:pStyle w:val="Compact"/>
        <w:numPr>
          <w:ilvl w:val="0"/>
          <w:numId w:val="1001"/>
        </w:numPr>
      </w:pPr>
      <w:r>
        <w:t xml:space="preserve">Adjusted Operating EBITDA of</w:t>
      </w:r>
      <w:r>
        <w:t xml:space="preserve"> </w:t>
      </w:r>
      <w:r>
        <w:rPr>
          <w:b/>
          <w:bCs/>
        </w:rPr>
        <w:t xml:space="preserve">$411M</w:t>
      </w:r>
      <w:r>
        <w:t xml:space="preserve"> </w:t>
      </w:r>
      <w:r>
        <w:t xml:space="preserve">(+22% y/y), margin of 31.3% (+125 bps y/y).</w:t>
      </w:r>
    </w:p>
    <w:p>
      <w:pPr>
        <w:pStyle w:val="Compact"/>
        <w:numPr>
          <w:ilvl w:val="0"/>
          <w:numId w:val="1001"/>
        </w:numPr>
      </w:pPr>
      <w:r>
        <w:t xml:space="preserve">Adjusted EPS of **</w:t>
      </w:r>
      <m:oMath>
        <m:r>
          <m:t>1.08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33</m:t>
        </m:r>
      </m:oMath>
      <w:r>
        <w:t xml:space="preserve">0.92 estimate.</w:t>
      </w:r>
    </w:p>
    <w:p>
      <w:pPr>
        <w:pStyle w:val="Compact"/>
        <w:numPr>
          <w:ilvl w:val="0"/>
          <w:numId w:val="1001"/>
        </w:numPr>
      </w:pPr>
      <w:r>
        <w:t xml:space="preserve">Management raised full-year 2026 guidance across every metric: net sales to</w:t>
      </w:r>
      <w:r>
        <w:t xml:space="preserve"> </w:t>
      </w:r>
      <m:oMath>
        <m:r>
          <m:t>5.225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5.375B</w:t>
      </w:r>
      <w:r>
        <w:t xml:space="preserve">, adjusted operating EBITDA to</w:t>
      </w:r>
      <w:r>
        <w:t xml:space="preserve"> </w:t>
      </w:r>
      <m:oMath>
        <m:r>
          <m:t>1.535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1.625B</w:t>
      </w:r>
      <w:r>
        <w:t xml:space="preserve">, adjusted EPS to</w:t>
      </w:r>
      <w:r>
        <w:t xml:space="preserve"> </w:t>
      </w:r>
      <m:oMath>
        <m:r>
          <m:t>3.80</m:t>
        </m:r>
        <m:r>
          <m:rPr>
            <m:sty m:val="p"/>
          </m:rPr>
          <m:t>–</m:t>
        </m:r>
      </m:oMath>
      <w:r>
        <w:rPr>
          <w:b/>
          <w:bCs/>
        </w:rPr>
        <w:t xml:space="preserve">4.14</w:t>
      </w:r>
      <w:r>
        <w:t xml:space="preserve">, and adjusted free cash flow to</w:t>
      </w:r>
      <w:r>
        <w:t xml:space="preserve"> </w:t>
      </w:r>
      <m:oMath>
        <m:r>
          <m:t>500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600M</w:t>
      </w:r>
      <w:r>
        <w:t xml:space="preserve">.</w:t>
      </w:r>
    </w:p>
    <w:bookmarkEnd w:id="10"/>
    <w:bookmarkStart w:id="11" w:name="what-management-guided-for-q2"/>
    <w:p>
      <w:pPr>
        <w:pStyle w:val="Heading2"/>
      </w:pPr>
      <w:r>
        <w:t xml:space="preserve">What Management Guided for Q2</w:t>
      </w:r>
    </w:p>
    <w:p>
      <w:pPr>
        <w:pStyle w:val="FirstParagraph"/>
      </w:pPr>
      <w:r>
        <w:t xml:space="preserve">On the Q1 call, CFO Mike Goss laid out a fairly specific framework for the quarter reporting tomorrow. Building on the strong first quarter results, management expects a normal seasonal increase in the second quarter with sequential net sales growth in the mid-single digits, supported by strong demand trends including continued momentum for AI-driven applications, high-performance computing, and advanced connectivity. By segment: in Semiconductor Technologies, sequential net sales were expected to be roughly flat with a margin profile in the mid-30s, while for ICS, sequential net sales growth was expected in the high-single-digits range with margins in the mid- to high-20s.</w:t>
      </w:r>
    </w:p>
    <w:p>
      <w:pPr>
        <w:pStyle w:val="BodyText"/>
      </w:pPr>
      <w:r>
        <w:t xml:space="preserve">Applying that framework to Q1's base implies roughly</w:t>
      </w:r>
      <w:r>
        <w:t xml:space="preserve"> </w:t>
      </w:r>
      <m:oMath>
        <m:r>
          <m:t>1.36</m:t>
        </m:r>
        <m:r>
          <m:rPr>
            <m:sty m:val="p"/>
          </m:rPr>
          <m:t>–</m:t>
        </m:r>
      </m:oMath>
      <w:r>
        <w:rPr>
          <w:b/>
          <w:bCs/>
        </w:rPr>
        <w:t xml:space="preserve">1.38B</w:t>
      </w:r>
      <w:r>
        <w:t xml:space="preserve"> </w:t>
      </w:r>
      <w:r>
        <w:t xml:space="preserve">in Q2 net sales, with Semi EBITDA margin holding near the mid-30s and ICS margin continuing its climb into the high-20s. Management also flagged a few puts and takes to watch: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Mix headwind in ICS</w:t>
      </w:r>
      <w:r>
        <w:t xml:space="preserve"> </w:t>
      </w:r>
      <w:r>
        <w:t xml:space="preserve">as the business rotates into the seasonally heavier consumer-electronics build, and continued</w:t>
      </w:r>
      <w:r>
        <w:t xml:space="preserve"> </w:t>
      </w:r>
      <w:r>
        <w:rPr>
          <w:b/>
          <w:bCs/>
        </w:rPr>
        <w:t xml:space="preserve">post-spin hiring investment</w:t>
      </w:r>
      <w:r>
        <w:t xml:space="preserve"> </w:t>
      </w:r>
      <w:r>
        <w:t xml:space="preserve">to support growth — both cited as modest margin drags relative to Q1's record levels.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Raw material/logistics inflation</w:t>
      </w:r>
      <w:r>
        <w:t xml:space="preserve"> </w:t>
      </w:r>
      <w:r>
        <w:t xml:space="preserve">of roughly $20M for the remainder of the year tied to geopolitical conditions (including the Middle East conflict), which the company intends to largely offset through pricing actions, "with some timing variability."</w:t>
      </w:r>
    </w:p>
    <w:p>
      <w:pPr>
        <w:pStyle w:val="Compact"/>
        <w:numPr>
          <w:ilvl w:val="0"/>
          <w:numId w:val="1002"/>
        </w:numPr>
      </w:pPr>
      <w:r>
        <w:t xml:space="preserve">An improving</w:t>
      </w:r>
      <w:r>
        <w:t xml:space="preserve"> </w:t>
      </w:r>
      <w:r>
        <w:rPr>
          <w:b/>
          <w:bCs/>
        </w:rPr>
        <w:t xml:space="preserve">mainstream/mature-logic recovery</w:t>
      </w:r>
      <w:r>
        <w:t xml:space="preserve">, with utilization rates moving from the mid-70s into the high-70s/low-80s range, and</w:t>
      </w:r>
      <w:r>
        <w:t xml:space="preserve"> </w:t>
      </w:r>
      <w:r>
        <w:rPr>
          <w:b/>
          <w:bCs/>
        </w:rPr>
        <w:t xml:space="preserve">memory utilization</w:t>
      </w:r>
      <w:r>
        <w:t xml:space="preserve"> </w:t>
      </w:r>
      <w:r>
        <w:t xml:space="preserve">(DRAM in the high-80s trending toward 90%+, NAND in the high-70s trending toward low-80s) continuing to firm into H2.</w:t>
      </w:r>
    </w:p>
    <w:bookmarkEnd w:id="11"/>
    <w:bookmarkStart w:id="12" w:name="consensus--street-expectations"/>
    <w:p>
      <w:pPr>
        <w:pStyle w:val="Heading2"/>
      </w:pPr>
      <w:r>
        <w:t xml:space="preserve">Consensus / Street Expectations</w:t>
      </w:r>
    </w:p>
    <w:p>
      <w:pPr>
        <w:pStyle w:val="FirstParagraph"/>
      </w:pPr>
      <w:r>
        <w:t xml:space="preserve">Sell-side estimates going into the print sit at roughly</w:t>
      </w:r>
      <w:r>
        <w:t xml:space="preserve"> </w:t>
      </w:r>
      <w:r>
        <w:rPr>
          <w:b/>
          <w:bCs/>
        </w:rPr>
        <w:t xml:space="preserve">$1.07 in adjusted EPS</w:t>
      </w:r>
      <w:r>
        <w:t xml:space="preserve">, broadly consistent with management's own mid-single-digit sequential sales growth guide, and Qnity has beaten consensus in each of the last several quarters. Zacks' full-year revenue consensus is pegged around $5.11B, and the company enters the print carrying real momentum in order books and process-of-record (PoR) wins — management noted on the Q1 call that order books remain strong and customer conversations remain constructive heading into Q2.</w:t>
      </w:r>
    </w:p>
    <w:bookmarkEnd w:id="12"/>
    <w:bookmarkStart w:id="13" w:name="key-themes-to-watch-on-the-call"/>
    <w:p>
      <w:pPr>
        <w:pStyle w:val="Heading2"/>
      </w:pPr>
      <w:r>
        <w:t xml:space="preserve">Key Themes to Watch on the Call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AI/advanced-packaging momentum vs. seasonality</w:t>
      </w:r>
      <w:r>
        <w:t xml:space="preserve"> </w:t>
      </w:r>
      <w:r>
        <w:t xml:space="preserve">— ICS grew 22% organically in Q1 with advanced packaging, AI PCB interconnects, and thermal management collectively up more than 50% y/y; investors will want confirmation that these three growth engines are still compounding into Q2 even as consumer-electronics seasonality kicks in.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Node transition progress</w:t>
      </w:r>
      <w:r>
        <w:t xml:space="preserve"> </w:t>
      </w:r>
      <w:r>
        <w:t xml:space="preserve">— commentary on 2nm ramp, HBM4 progress, and early traction in "Angstrom-era" nodes (16/14/10) will matter for 2027 visibility.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Memory market conditions</w:t>
      </w:r>
      <w:r>
        <w:t xml:space="preserve"> </w:t>
      </w:r>
      <w:r>
        <w:t xml:space="preserve">— this is the single biggest swing factor for sentiment right now. The broader semiconductor/memory complex sold off hard in late July 2026 as concerns mounted over Chinese memory competition (CXMT), circular AI-financing worries, and underwhelming reactions to Samsung's Q2 results despite record profits — dragging Micron, SK Hynix, and Samsung's shares into what press reports characterized as bear-market territory. While Qnity's direct memory exposure is more on the advanced-node/HBM materials side rather than commodity memory pricing, any read-through on China memory capacity additions or pricing normalization will be closely parsed.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Leadership transition</w:t>
      </w:r>
      <w:r>
        <w:t xml:space="preserve"> </w:t>
      </w:r>
      <w:r>
        <w:t xml:space="preserve">— Qnity is still searching for a permanent CFO and a permanent Head of Semiconductor Technologies (both currently held on an interim basis by Mike Goss and others); an update on hiring progress is likely.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Capacity build-out</w:t>
      </w:r>
      <w:r>
        <w:t xml:space="preserve"> </w:t>
      </w:r>
      <w:r>
        <w:t xml:space="preserve">— updates on the new Delaware facility (opened March, now in customer qualification) and the Taiwan site (targeted for full operation in early 2027) will inform the capex trajectory (guided at ~9% of sales in 2026, normalizing toward ~6% longer-term).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Balance sheet / capital return</w:t>
      </w:r>
      <w:r>
        <w:t xml:space="preserve"> </w:t>
      </w:r>
      <w:r>
        <w:t xml:space="preserve">— net debt leverage stood at 2.2x at Q1-end with ~$850M of cash; watch for updates on the dividend, the</w:t>
      </w:r>
      <w:r>
        <w:t xml:space="preserve"> </w:t>
      </w:r>
      <m:oMath>
        <m:r>
          <m:t>500</m:t>
        </m:r>
        <m:r>
          <m:t>M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p</m:t>
        </m:r>
        <m:r>
          <m:t>a</m:t>
        </m:r>
        <m:r>
          <m:t>c</m:t>
        </m:r>
        <m:r>
          <m:t>i</m:t>
        </m:r>
        <m:r>
          <m:t>n</m:t>
        </m:r>
        <m:r>
          <m:t>g</m:t>
        </m:r>
        <m:r>
          <m:t>o</m:t>
        </m:r>
        <m:r>
          <m:t>f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(</m:t>
        </m:r>
      </m:oMath>
      <w:r>
        <w:t xml:space="preserve">25M repurchased in Q1).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Geopolitical/customer-specific risk</w:t>
      </w:r>
      <w:r>
        <w:t xml:space="preserve"> </w:t>
      </w:r>
      <w:r>
        <w:t xml:space="preserve">— management flagged labor unrest at a major Korean memory/foundry customer and Middle East-related cost pressure as items being actively monitored, without evidence of operational disruption so far.</w:t>
      </w:r>
    </w:p>
    <w:bookmarkEnd w:id="13"/>
    <w:bookmarkStart w:id="14" w:name="stock-setup-heading-into-the-print"/>
    <w:p>
      <w:pPr>
        <w:pStyle w:val="Heading2"/>
      </w:pPr>
      <w:r>
        <w:t xml:space="preserve">Stock Setup Heading Into the Print</w:t>
      </w:r>
    </w:p>
    <w:p>
      <w:pPr>
        <w:pStyle w:val="FirstParagraph"/>
      </w:pPr>
      <w:r>
        <w:t xml:space="preserve">Qnity shares have had a volatile run since the spin-off — rallying from the low-</w:t>
      </w:r>
      <m:oMath>
        <m:r>
          <m:t>80</m:t>
        </m:r>
        <m:r>
          <m:t>s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2025</m:t>
        </m:r>
        <m:r>
          <m:t>t</m:t>
        </m:r>
        <m:r>
          <m:t>o</m:t>
        </m:r>
        <m:r>
          <m:t>a</m:t>
        </m:r>
        <m:r>
          <m:t>n</m:t>
        </m:r>
        <m:r>
          <m:t>a</m:t>
        </m:r>
        <m:r>
          <m:t>l</m:t>
        </m:r>
        <m:r>
          <m:t>l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177** in June 2026 on the back of the strong Q1 beat, NVIDIA/Apple partnership announcements, and broad AI-infrastructure enthusiasm, before retreating roughly 25% to the low-$130s by early August amid the sector-wide chip/memory selloff. Reports have noted the stock's forward P/E near 38x is above the ~33x U.S. semiconductor industry average, and at least one sell-side firm (RBC) trimmed its price target (from $200 to $189) even while remaining constructive, while some independent analyses argue current levels leave "valuation... a bit stretched" with limited near-term upside. That combination — a business still compounding at double-digit organic growth, but a stock that ran hard on AI enthusiasm and has since given back gains alongside memory/semi peers — sets up tomorrow's report as a potential inflection point for sentiment: a clean beat-and-raise in line with the Q1 pattern could help stabilize the stock, while any softness in ICS seasonality, Semi margins, or commentary on memory/China competitive dynamics could compound the recent de-rating.</w:t>
      </w:r>
    </w:p>
    <w:bookmarkEnd w:id="14"/>
    <w:bookmarkStart w:id="1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Qnity heads into its second earnings report as an independent company with a credible track record (eight straight quarters of profitable organic growth), a raised full-year guide, and clear structural tailwinds from the "shrink-to-stack" AI infrastructure buildout across both segments. The setup for Q2 itself looks achievable relative to management's own framework (mid-single-digit sequential sales growth, flat Semi/high-single-digit ICS growth) and consensus (~$1.07 adjusted EPS). The bigger swing factors for the stock reaction are likely to be (1) any incremental color on second-half memory/mainstream-logic recovery pace amid the broader sector selloff, (2) margin trajectory in ICS as consumer-electronics seasonality kicks in, and (3) progress on the CFO/Head of Semiconductor searches — all against a valuation that has already priced in a fair amount of good news.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2026-08-04T00:23:04Z</dcterms:created>
  <dcterms:modified xsi:type="dcterms:W3CDTF">2026-08-04T00:23:04Z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