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38de992464a0213fdb2e170769ccae34ce89134"/>
    <w:p>
      <w:pPr>
        <w:pStyle w:val="Heading1"/>
      </w:pPr>
      <w:r>
        <w:t xml:space="preserve">Qnity Electronics (NYSE: Q) — 2026 Q2 Earnings Preview</w:t>
      </w:r>
    </w:p>
    <w:p>
      <w:pPr>
        <w:pStyle w:val="BlockText"/>
      </w:pPr>
      <w:r>
        <w:rPr>
          <w:b/>
          <w:bCs/>
        </w:rPr>
        <w:t xml:space="preserve">Timing note:</w:t>
      </w:r>
      <w:r>
        <w:t xml:space="preserve"> </w:t>
      </w:r>
      <w:r>
        <w:t xml:space="preserve">Qnity’s July 7 announcement schedules the Q2 release</w:t>
      </w:r>
      <w:r>
        <w:t xml:space="preserve"> </w:t>
      </w:r>
      <w:r>
        <w:rPr>
          <w:b/>
          <w:bCs/>
        </w:rPr>
        <w:t xml:space="preserve">before the market opens on Tuesday, August 4, 2026</w:t>
      </w:r>
      <w:r>
        <w:t xml:space="preserve">, with the call at</w:t>
      </w:r>
      <w:r>
        <w:t xml:space="preserve"> </w:t>
      </w:r>
      <w:r>
        <w:rPr>
          <w:b/>
          <w:bCs/>
        </w:rPr>
        <w:t xml:space="preserve">8:00 a.m. ET that same day</w:t>
      </w:r>
      <w:r>
        <w:t xml:space="preserve">. Thus, the prompt’s reference to “tomorrow” conflicts with the specified August 4 event date. No Q2 release was available in the document set at the research cutoff, so this is written as a pre-report preview.</w:t>
      </w:r>
    </w:p>
    <w:bookmarkStart w:id="9" w:name="executive-view"/>
    <w:p>
      <w:pPr>
        <w:pStyle w:val="Heading2"/>
      </w:pPr>
      <w:r>
        <w:t xml:space="preserve">Executive view</w:t>
      </w:r>
    </w:p>
    <w:p>
      <w:pPr>
        <w:pStyle w:val="FirstParagraph"/>
      </w:pPr>
      <w:r>
        <w:t xml:space="preserve">Qnity enters Q2 with strong operating momentum but a relatively demanding burden of proof. First-quarter sales grew 17% organically, the company raised every major full-year target, and its AI-exposed advanced packaging, thermal-management, and AI printed-circuit-board businesses grew more than 50%.</w:t>
      </w:r>
    </w:p>
    <w:p>
      <w:pPr>
        <w:pStyle w:val="BodyText"/>
      </w:pPr>
      <w:r>
        <w:t xml:space="preserve">The core question is no longer whether Qnity benefits from AI infrastructure spending. It is whether that strength can:</w:t>
      </w:r>
    </w:p>
    <w:p>
      <w:pPr>
        <w:pStyle w:val="Compact"/>
        <w:numPr>
          <w:ilvl w:val="0"/>
          <w:numId w:val="1001"/>
        </w:numPr>
      </w:pPr>
      <w:r>
        <w:t xml:space="preserve">Remain broad enough to offset normalization in semiconductor customer inventories;</w:t>
      </w:r>
    </w:p>
    <w:p>
      <w:pPr>
        <w:pStyle w:val="Compact"/>
        <w:numPr>
          <w:ilvl w:val="0"/>
          <w:numId w:val="1001"/>
        </w:numPr>
      </w:pPr>
      <w:r>
        <w:t xml:space="preserve">Sustain margins as consumer-electronics mix returns and Qnity adds employees and capacity; and</w:t>
      </w:r>
    </w:p>
    <w:p>
      <w:pPr>
        <w:pStyle w:val="Compact"/>
        <w:numPr>
          <w:ilvl w:val="0"/>
          <w:numId w:val="1001"/>
        </w:numPr>
      </w:pPr>
      <w:r>
        <w:t xml:space="preserve">Produce the substantial second-half cash flow embedded in guidance.</w:t>
      </w:r>
    </w:p>
    <w:p>
      <w:pPr>
        <w:pStyle w:val="FirstParagraph"/>
      </w:pPr>
      <w:r>
        <w:t xml:space="preserve">The stock closed at</w:t>
      </w:r>
      <w:r>
        <w:t xml:space="preserve"> </w:t>
      </w:r>
      <w:r>
        <w:rPr>
          <w:b/>
          <w:bCs/>
        </w:rPr>
        <w:t xml:space="preserve">$133.33 on August 3</w:t>
      </w:r>
      <w:r>
        <w:t xml:space="preserve">, about 21% below its May 12 post-Q1 close and 24% below its June high. That reduces the immediate expectations risk, but the shares still trade at roughly</w:t>
      </w:r>
      <w:r>
        <w:t xml:space="preserve"> </w:t>
      </w:r>
      <w:r>
        <w:rPr>
          <w:b/>
          <w:bCs/>
        </w:rPr>
        <w:t xml:space="preserve">34 times the midpoint of 2026 adjusted EPS guidance</w:t>
      </w:r>
      <w:r>
        <w:t xml:space="preserve">, so a merely in-line quarter without convincing guidance commentary may not be sufficient.</w:t>
      </w:r>
    </w:p>
    <w:p>
      <w:r>
        <w:pict>
          <v:rect style="width:0;height:1.5pt" o:hralign="center" o:hrstd="t" o:hr="t"/>
        </w:pict>
      </w:r>
    </w:p>
    <w:bookmarkEnd w:id="9"/>
    <w:bookmarkStart w:id="10" w:name="management-implied-q2-benchmark"/>
    <w:p>
      <w:pPr>
        <w:pStyle w:val="Heading2"/>
      </w:pPr>
      <w:r>
        <w:t xml:space="preserve">Management-implied Q2 benchmark</w:t>
      </w:r>
    </w:p>
    <w:p>
      <w:pPr>
        <w:pStyle w:val="FirstParagraph"/>
      </w:pPr>
      <w:r>
        <w:t xml:space="preserve">Qnity did not provide formal quarterly numerical guidance, but management gave enough detail to construct a reasonable benchmark.</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Q1 2026 actual</w:t>
            </w:r>
          </w:p>
        </w:tc>
        <w:tc>
          <w:tcPr/>
          <w:p>
            <w:pPr>
              <w:pStyle w:val="Compact"/>
            </w:pPr>
            <w:r>
              <w:t xml:space="preserve">Q2 management commentary</w:t>
            </w:r>
          </w:p>
        </w:tc>
        <w:tc>
          <w:tcPr/>
          <w:p>
            <w:pPr>
              <w:pStyle w:val="Compact"/>
              <w:jc w:val="right"/>
            </w:pPr>
            <w:r>
              <w:t xml:space="preserve">Reasonable Q2 benchmark</w:t>
            </w:r>
          </w:p>
        </w:tc>
      </w:tr>
      <w:tr>
        <w:tc>
          <w:tcPr/>
          <w:p>
            <w:pPr>
              <w:pStyle w:val="Compact"/>
            </w:pPr>
            <w:r>
              <w:t xml:space="preserve">Net sales</w:t>
            </w:r>
          </w:p>
        </w:tc>
        <w:tc>
          <w:tcPr/>
          <w:p>
            <w:pPr>
              <w:pStyle w:val="Compact"/>
              <w:jc w:val="right"/>
            </w:pPr>
            <w:r>
              <w:t xml:space="preserve">$1.315B</w:t>
            </w:r>
          </w:p>
        </w:tc>
        <w:tc>
          <w:tcPr/>
          <w:p>
            <w:pPr>
              <w:pStyle w:val="Compact"/>
            </w:pPr>
            <w:r>
              <w:t xml:space="preserve">Mid-single-digit sequential growth</w:t>
            </w:r>
          </w:p>
        </w:tc>
        <w:tc>
          <w:tcPr/>
          <w:p>
            <w:pPr>
              <w:pStyle w:val="Compact"/>
              <w:jc w:val="right"/>
            </w:pPr>
            <m:oMath>
              <m:r>
                <m:t>1.36</m:t>
              </m:r>
              <m:r>
                <m:t>B</m:t>
              </m:r>
              <m:r>
                <m:rPr>
                  <m:sty m:val="p"/>
                </m:rPr>
                <m:t>–</m:t>
              </m:r>
            </m:oMath>
            <w:r>
              <w:rPr>
                <w:b/>
                <w:bCs/>
              </w:rPr>
              <w:t xml:space="preserve">1.39B</w:t>
            </w:r>
          </w:p>
        </w:tc>
      </w:tr>
      <w:tr>
        <w:tc>
          <w:tcPr/>
          <w:p>
            <w:pPr>
              <w:pStyle w:val="Compact"/>
            </w:pPr>
            <w:r>
              <w:t xml:space="preserve">Semiconductor Technologies sales</w:t>
            </w:r>
          </w:p>
        </w:tc>
        <w:tc>
          <w:tcPr/>
          <w:p>
            <w:pPr>
              <w:pStyle w:val="Compact"/>
              <w:jc w:val="right"/>
            </w:pPr>
            <w:r>
              <w:t xml:space="preserve">$722M</w:t>
            </w:r>
          </w:p>
        </w:tc>
        <w:tc>
          <w:tcPr/>
          <w:p>
            <w:pPr>
              <w:pStyle w:val="Compact"/>
            </w:pPr>
            <w:r>
              <w:t xml:space="preserve">Roughly flat sequentially</w:t>
            </w:r>
          </w:p>
        </w:tc>
        <w:tc>
          <w:tcPr/>
          <w:p>
            <w:pPr>
              <w:pStyle w:val="Compact"/>
              <w:jc w:val="right"/>
            </w:pPr>
            <w:r>
              <w:rPr>
                <w:b/>
                <w:bCs/>
              </w:rPr>
              <w:t xml:space="preserve">Approximately $720M</w:t>
            </w:r>
          </w:p>
        </w:tc>
      </w:tr>
      <w:tr>
        <w:tc>
          <w:tcPr/>
          <w:p>
            <w:pPr>
              <w:pStyle w:val="Compact"/>
            </w:pPr>
            <w:r>
              <w:t xml:space="preserve">Interconnect Solutions sales</w:t>
            </w:r>
          </w:p>
        </w:tc>
        <w:tc>
          <w:tcPr/>
          <w:p>
            <w:pPr>
              <w:pStyle w:val="Compact"/>
              <w:jc w:val="right"/>
            </w:pPr>
            <w:r>
              <w:t xml:space="preserve">$593M</w:t>
            </w:r>
          </w:p>
        </w:tc>
        <w:tc>
          <w:tcPr/>
          <w:p>
            <w:pPr>
              <w:pStyle w:val="Compact"/>
            </w:pPr>
            <w:r>
              <w:t xml:space="preserve">High-single-digit sequential growth</w:t>
            </w:r>
          </w:p>
        </w:tc>
        <w:tc>
          <w:tcPr/>
          <w:p>
            <w:pPr>
              <w:pStyle w:val="Compact"/>
              <w:jc w:val="right"/>
            </w:pPr>
            <m:oMath>
              <m:r>
                <m:t>640</m:t>
              </m:r>
              <m:r>
                <m:t>M</m:t>
              </m:r>
              <m:r>
                <m:rPr>
                  <m:sty m:val="p"/>
                </m:rPr>
                <m:t>–</m:t>
              </m:r>
            </m:oMath>
            <w:r>
              <w:rPr>
                <w:b/>
                <w:bCs/>
              </w:rPr>
              <w:t xml:space="preserve">650M</w:t>
            </w:r>
          </w:p>
        </w:tc>
      </w:tr>
      <w:tr>
        <w:tc>
          <w:tcPr/>
          <w:p>
            <w:pPr>
              <w:pStyle w:val="Compact"/>
            </w:pPr>
            <w:r>
              <w:t xml:space="preserve">Adjusted operating EBITDA</w:t>
            </w:r>
          </w:p>
        </w:tc>
        <w:tc>
          <w:tcPr/>
          <w:p>
            <w:pPr>
              <w:pStyle w:val="Compact"/>
              <w:jc w:val="right"/>
            </w:pPr>
            <w:r>
              <w:t xml:space="preserve">$411M</w:t>
            </w:r>
          </w:p>
        </w:tc>
        <w:tc>
          <w:tcPr/>
          <w:p>
            <w:pPr>
              <w:pStyle w:val="Compact"/>
            </w:pPr>
            <w:r>
              <w:t xml:space="preserve">Segment margins discussed below</w:t>
            </w:r>
          </w:p>
        </w:tc>
        <w:tc>
          <w:tcPr/>
          <w:p>
            <w:pPr>
              <w:pStyle w:val="Compact"/>
              <w:jc w:val="right"/>
            </w:pPr>
            <w:r>
              <w:rPr>
                <w:b/>
                <w:bCs/>
              </w:rPr>
              <w:t xml:space="preserve">Approximately</w:t>
            </w:r>
            <w:r>
              <w:rPr>
                <w:b/>
                <w:bCs/>
              </w:rPr>
              <w:t xml:space="preserve"> </w:t>
            </w:r>
            <m:oMath>
              <m:r>
                <m:t>400</m:t>
              </m:r>
              <m:r>
                <m:t>M</m:t>
              </m:r>
              <m:r>
                <m:rPr>
                  <m:sty m:val="p"/>
                </m:rPr>
                <m:t>–</m:t>
              </m:r>
            </m:oMath>
            <w:r>
              <w:rPr>
                <w:b/>
                <w:bCs/>
              </w:rPr>
              <w:t xml:space="preserve">415M</w:t>
            </w:r>
          </w:p>
        </w:tc>
      </w:tr>
      <w:tr>
        <w:tc>
          <w:tcPr/>
          <w:p>
            <w:pPr>
              <w:pStyle w:val="Compact"/>
            </w:pPr>
            <w:r>
              <w:t xml:space="preserve">Adjusted EBITDA margin</w:t>
            </w:r>
          </w:p>
        </w:tc>
        <w:tc>
          <w:tcPr/>
          <w:p>
            <w:pPr>
              <w:pStyle w:val="Compact"/>
              <w:jc w:val="right"/>
            </w:pPr>
            <w:r>
              <w:t xml:space="preserve">31.3%</w:t>
            </w:r>
          </w:p>
        </w:tc>
        <w:tc>
          <w:tcPr/>
          <w:p>
            <w:pPr>
              <w:pStyle w:val="Compact"/>
            </w:pPr>
            <w:r>
              <w:t xml:space="preserve">Semi mid-30s; ICS mid- to high-20s</w:t>
            </w:r>
          </w:p>
        </w:tc>
        <w:tc>
          <w:tcPr/>
          <w:p>
            <w:pPr>
              <w:pStyle w:val="Compact"/>
              <w:jc w:val="right"/>
            </w:pPr>
            <w:r>
              <w:rPr>
                <w:b/>
                <w:bCs/>
              </w:rPr>
              <w:t xml:space="preserve">Approximately 29%–30.5%</w:t>
            </w:r>
          </w:p>
        </w:tc>
      </w:tr>
      <w:tr>
        <w:tc>
          <w:tcPr/>
          <w:p>
            <w:pPr>
              <w:pStyle w:val="Compact"/>
            </w:pPr>
            <w:r>
              <w:t xml:space="preserve">Adjusted EPS</w:t>
            </w:r>
          </w:p>
        </w:tc>
        <w:tc>
          <w:tcPr/>
          <w:p>
            <w:pPr>
              <w:pStyle w:val="Compact"/>
              <w:jc w:val="right"/>
            </w:pPr>
            <w:r>
              <w:t xml:space="preserve">$1.08</w:t>
            </w:r>
          </w:p>
        </w:tc>
        <w:tc>
          <w:tcPr/>
          <w:p>
            <w:pPr>
              <w:pStyle w:val="Compact"/>
            </w:pPr>
            <w:r>
              <w:t xml:space="preserve">No explicit quarterly guide</w:t>
            </w:r>
          </w:p>
        </w:tc>
        <w:tc>
          <w:tcPr/>
          <w:p>
            <w:pPr>
              <w:pStyle w:val="Compact"/>
              <w:jc w:val="right"/>
            </w:pPr>
            <w:r>
              <w:rPr>
                <w:b/>
                <w:bCs/>
              </w:rPr>
              <w:t xml:space="preserve">Around $1.00</w:t>
            </w:r>
            <w:r>
              <w:t xml:space="preserve">, analytically, not consensus</w:t>
            </w:r>
          </w:p>
        </w:tc>
      </w:tr>
    </w:tbl>
    <w:p>
      <w:pPr>
        <w:pStyle w:val="BodyText"/>
      </w:pPr>
      <w:r>
        <w:t xml:space="preserve">The two segment growth comments mathematically imply sales near $1.36 billion, while applying 5% growth to consolidated Q1 sales produces approximately $1.38 billion.</w:t>
      </w:r>
    </w:p>
    <w:p>
      <w:pPr>
        <w:pStyle w:val="BodyText"/>
      </w:pPr>
      <w:r>
        <w:t xml:space="preserve">A clean report would therefore likely require revenue around or above the upper half of this range, EBITDA holding near $410 million despite known mix and spending headwinds, and no deterioration in full-year guidance.</w:t>
      </w:r>
    </w:p>
    <w:p>
      <w:r>
        <w:pict>
          <v:rect style="width:0;height:1.5pt" o:hralign="center" o:hrstd="t" o:hr="t"/>
        </w:pict>
      </w:r>
    </w:p>
    <w:bookmarkEnd w:id="10"/>
    <w:bookmarkStart w:id="16" w:name="the-five-issues-that-matter-most"/>
    <w:p>
      <w:pPr>
        <w:pStyle w:val="Heading2"/>
      </w:pPr>
      <w:r>
        <w:t xml:space="preserve">The five issues that matter most</w:t>
      </w:r>
    </w:p>
    <w:bookmarkStart w:id="11" w:name="X1c8b6e770bb7673e8ef3018bafe8141839b5ca6"/>
    <w:p>
      <w:pPr>
        <w:pStyle w:val="Heading3"/>
      </w:pPr>
      <w:r>
        <w:t xml:space="preserve">1. Can Interconnect Solutions sustain exceptional growth?</w:t>
      </w:r>
    </w:p>
    <w:p>
      <w:pPr>
        <w:pStyle w:val="FirstParagraph"/>
      </w:pPr>
      <w:r>
        <w:t xml:space="preserve">Interconnect Solutions, or ICS, is the most important near-term swing factor.</w:t>
      </w:r>
    </w:p>
    <w:p>
      <w:pPr>
        <w:pStyle w:val="BodyText"/>
      </w:pPr>
      <w:r>
        <w:t xml:space="preserve">In Q1:</w:t>
      </w:r>
    </w:p>
    <w:p>
      <w:pPr>
        <w:pStyle w:val="Compact"/>
        <w:numPr>
          <w:ilvl w:val="0"/>
          <w:numId w:val="1002"/>
        </w:numPr>
      </w:pPr>
      <w:r>
        <w:t xml:space="preserve">Sales reached</w:t>
      </w:r>
      <w:r>
        <w:t xml:space="preserve"> </w:t>
      </w:r>
      <w:r>
        <w:rPr>
          <w:b/>
          <w:bCs/>
        </w:rPr>
        <w:t xml:space="preserve">$593 million</w:t>
      </w:r>
      <w:r>
        <w:t xml:space="preserve">, up 25% reported and 22% organically.</w:t>
      </w:r>
    </w:p>
    <w:p>
      <w:pPr>
        <w:pStyle w:val="Compact"/>
        <w:numPr>
          <w:ilvl w:val="0"/>
          <w:numId w:val="1002"/>
        </w:numPr>
      </w:pPr>
      <w:r>
        <w:t xml:space="preserve">Advanced packaging, AI PCBs, and thermal management collectively grew</w:t>
      </w:r>
      <w:r>
        <w:t xml:space="preserve"> </w:t>
      </w:r>
      <w:r>
        <w:rPr>
          <w:b/>
          <w:bCs/>
        </w:rPr>
        <w:t xml:space="preserve">more than 50% year over year</w:t>
      </w:r>
      <w:r>
        <w:t xml:space="preserve">.</w:t>
      </w:r>
    </w:p>
    <w:p>
      <w:pPr>
        <w:pStyle w:val="Compact"/>
        <w:numPr>
          <w:ilvl w:val="0"/>
          <w:numId w:val="1002"/>
        </w:numPr>
      </w:pPr>
      <w:r>
        <w:t xml:space="preserve">Adjusted EBITDA was</w:t>
      </w:r>
      <w:r>
        <w:t xml:space="preserve"> </w:t>
      </w:r>
      <w:r>
        <w:rPr>
          <w:b/>
          <w:bCs/>
        </w:rPr>
        <w:t xml:space="preserve">$169 million</w:t>
      </w:r>
      <w:r>
        <w:t xml:space="preserve">, producing a 28.5% margin.</w:t>
      </w:r>
    </w:p>
    <w:p>
      <w:pPr>
        <w:pStyle w:val="Compact"/>
        <w:numPr>
          <w:ilvl w:val="0"/>
          <w:numId w:val="1002"/>
        </w:numPr>
      </w:pPr>
      <w:r>
        <w:t xml:space="preserve">Management attributed the growth to AI data centers, customer share gains, and the ramp of process-of-record wins secured during 2025.</w:t>
      </w:r>
    </w:p>
    <w:p>
      <w:pPr>
        <w:pStyle w:val="FirstParagraph"/>
      </w:pPr>
      <w:r>
        <w:t xml:space="preserve">For Q2, management forecast high-single-digit sequential sales growth but also warned that normal consumer-electronics seasonality would create a less favorable product mix.</w:t>
      </w:r>
    </w:p>
    <w:p>
      <w:pPr>
        <w:pStyle w:val="BodyText"/>
      </w:pPr>
      <w:r>
        <w:rPr>
          <w:b/>
          <w:bCs/>
        </w:rPr>
        <w:t xml:space="preserve">What investors should watch:</w:t>
      </w:r>
    </w:p>
    <w:p>
      <w:pPr>
        <w:pStyle w:val="Compact"/>
        <w:numPr>
          <w:ilvl w:val="0"/>
          <w:numId w:val="1003"/>
        </w:numPr>
      </w:pPr>
      <w:r>
        <w:t xml:space="preserve">Whether advanced packaging, thermal management, and AI PCB growth remains near the Q1 level;</w:t>
      </w:r>
    </w:p>
    <w:p>
      <w:pPr>
        <w:pStyle w:val="Compact"/>
        <w:numPr>
          <w:ilvl w:val="0"/>
          <w:numId w:val="1003"/>
        </w:numPr>
      </w:pPr>
      <w:r>
        <w:t xml:space="preserve">Evidence that growth reflects lasting content and share gains rather than customer inventory building;</w:t>
      </w:r>
    </w:p>
    <w:p>
      <w:pPr>
        <w:pStyle w:val="Compact"/>
        <w:numPr>
          <w:ilvl w:val="0"/>
          <w:numId w:val="1003"/>
        </w:numPr>
      </w:pPr>
      <w:r>
        <w:t xml:space="preserve">The amount of margin compression caused by consumer-electronics mix;</w:t>
      </w:r>
    </w:p>
    <w:p>
      <w:pPr>
        <w:pStyle w:val="Compact"/>
        <w:numPr>
          <w:ilvl w:val="0"/>
          <w:numId w:val="1003"/>
        </w:numPr>
      </w:pPr>
      <w:r>
        <w:t xml:space="preserve">New process-of-record wins and the timing of their revenue contribution;</w:t>
      </w:r>
    </w:p>
    <w:p>
      <w:pPr>
        <w:pStyle w:val="Compact"/>
        <w:numPr>
          <w:ilvl w:val="0"/>
          <w:numId w:val="1003"/>
        </w:numPr>
      </w:pPr>
      <w:r>
        <w:t xml:space="preserve">Whether management is ready to increase its longer-term expectations for ICS.</w:t>
      </w:r>
    </w:p>
    <w:p>
      <w:pPr>
        <w:pStyle w:val="FirstParagraph"/>
      </w:pPr>
      <w:r>
        <w:t xml:space="preserve">A result near</w:t>
      </w:r>
      <w:r>
        <w:t xml:space="preserve"> </w:t>
      </w:r>
      <w:r>
        <w:rPr>
          <w:b/>
          <w:bCs/>
        </w:rPr>
        <w:t xml:space="preserve">$645 million of ICS sales with a 27%–28% margin</w:t>
      </w:r>
      <w:r>
        <w:t xml:space="preserve"> </w:t>
      </w:r>
      <w:r>
        <w:t xml:space="preserve">would be solid. Stronger revenue with margins still near Q1’s 28.5% would be the clearest bullish signal in the report.</w:t>
      </w:r>
    </w:p>
    <w:bookmarkEnd w:id="11"/>
    <w:bookmarkStart w:id="12" w:name="Xc08bfdf49de91202fec5171b58eee8ea02e1cc8"/>
    <w:p>
      <w:pPr>
        <w:pStyle w:val="Heading3"/>
      </w:pPr>
      <w:r>
        <w:t xml:space="preserve">2. Semiconductor Technologies must overcome a Q1 restocking benefit</w:t>
      </w:r>
    </w:p>
    <w:p>
      <w:pPr>
        <w:pStyle w:val="FirstParagraph"/>
      </w:pPr>
      <w:r>
        <w:t xml:space="preserve">Semiconductor Technologies delivered Q1 sales of</w:t>
      </w:r>
      <w:r>
        <w:t xml:space="preserve"> </w:t>
      </w:r>
      <w:r>
        <w:rPr>
          <w:b/>
          <w:bCs/>
        </w:rPr>
        <w:t xml:space="preserve">$722 million</w:t>
      </w:r>
      <w:r>
        <w:t xml:space="preserve">, up 12% organically, driven by advanced logic, high-bandwidth memory, CMP consumables, and improving fab utilization.</w:t>
      </w:r>
    </w:p>
    <w:p>
      <w:pPr>
        <w:pStyle w:val="BodyText"/>
      </w:pPr>
      <w:r>
        <w:t xml:space="preserve">However, Q1 included approximately</w:t>
      </w:r>
      <w:r>
        <w:t xml:space="preserve"> </w:t>
      </w:r>
      <w:r>
        <w:rPr>
          <w:b/>
          <w:bCs/>
        </w:rPr>
        <w:t xml:space="preserve">$20 million of customer inventory restocking</w:t>
      </w:r>
      <w:r>
        <w:t xml:space="preserve">, primarily in mature nodes. Management consequently guided Q2 sales to be roughly flat sequentially.</w:t>
      </w:r>
    </w:p>
    <w:p>
      <w:pPr>
        <w:pStyle w:val="BodyText"/>
      </w:pPr>
      <w:r>
        <w:t xml:space="preserve">That creates an important quality test. Flat sales despite the absence or reversal of the restocking benefit would suggest that underlying demand in advanced nodes, HBM, NAND, and mature logic remains healthy.</w:t>
      </w:r>
    </w:p>
    <w:p>
      <w:pPr>
        <w:pStyle w:val="BodyText"/>
      </w:pPr>
      <w:r>
        <w:t xml:space="preserve">Key data points include:</w:t>
      </w:r>
    </w:p>
    <w:p>
      <w:pPr>
        <w:pStyle w:val="Compact"/>
        <w:numPr>
          <w:ilvl w:val="0"/>
          <w:numId w:val="1004"/>
        </w:numPr>
      </w:pPr>
      <w:r>
        <w:t xml:space="preserve">Advanced logic demand at 3 nanometers and early 2-nanometer activity;</w:t>
      </w:r>
    </w:p>
    <w:p>
      <w:pPr>
        <w:pStyle w:val="Compact"/>
        <w:numPr>
          <w:ilvl w:val="0"/>
          <w:numId w:val="1004"/>
        </w:numPr>
      </w:pPr>
      <w:r>
        <w:t xml:space="preserve">HBM-related materials demand and commentary on HBM4;</w:t>
      </w:r>
    </w:p>
    <w:p>
      <w:pPr>
        <w:pStyle w:val="Compact"/>
        <w:numPr>
          <w:ilvl w:val="0"/>
          <w:numId w:val="1004"/>
        </w:numPr>
      </w:pPr>
      <w:r>
        <w:t xml:space="preserve">DRAM and NAND utilization rates;</w:t>
      </w:r>
    </w:p>
    <w:p>
      <w:pPr>
        <w:pStyle w:val="Compact"/>
        <w:numPr>
          <w:ilvl w:val="0"/>
          <w:numId w:val="1004"/>
        </w:numPr>
      </w:pPr>
      <w:r>
        <w:t xml:space="preserve">Continued recovery in mature-node utilization;</w:t>
      </w:r>
    </w:p>
    <w:p>
      <w:pPr>
        <w:pStyle w:val="Compact"/>
        <w:numPr>
          <w:ilvl w:val="0"/>
          <w:numId w:val="1004"/>
        </w:numPr>
      </w:pPr>
      <w:r>
        <w:t xml:space="preserve">CMP consumables and advanced-cleans growth;</w:t>
      </w:r>
    </w:p>
    <w:p>
      <w:pPr>
        <w:pStyle w:val="Compact"/>
        <w:numPr>
          <w:ilvl w:val="0"/>
          <w:numId w:val="1004"/>
        </w:numPr>
      </w:pPr>
      <w:r>
        <w:t xml:space="preserve">Semiconductor segment margin relative to the guided</w:t>
      </w:r>
      <w:r>
        <w:t xml:space="preserve"> </w:t>
      </w:r>
      <w:r>
        <w:rPr>
          <w:b/>
          <w:bCs/>
        </w:rPr>
        <w:t xml:space="preserve">mid-30% range</w:t>
      </w:r>
      <w:r>
        <w:t xml:space="preserve">.</w:t>
      </w:r>
    </w:p>
    <w:p>
      <w:pPr>
        <w:pStyle w:val="FirstParagraph"/>
      </w:pPr>
      <w:r>
        <w:t xml:space="preserve">A sequential decline materially below $700 million would raise questions about the strength of the mainstream recovery. Conversely, growth despite the Q1 restocking comparison would be a meaningful positive.</w:t>
      </w:r>
    </w:p>
    <w:bookmarkEnd w:id="12"/>
    <w:bookmarkStart w:id="13" w:name="X2aeeec9112e502734c2b1bf91d87fdd42f2163d"/>
    <w:p>
      <w:pPr>
        <w:pStyle w:val="Heading3"/>
      </w:pPr>
      <w:r>
        <w:t xml:space="preserve">3. Full-year guidance is the principal stock catalyst</w:t>
      </w:r>
    </w:p>
    <w:p>
      <w:pPr>
        <w:pStyle w:val="FirstParagraph"/>
      </w:pPr>
      <w:r>
        <w:t xml:space="preserve">After Q1, Qnity raised its 2026 outlook to:</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2026 metric</w:t>
            </w:r>
          </w:p>
        </w:tc>
        <w:tc>
          <w:tcPr/>
          <w:p>
            <w:pPr>
              <w:pStyle w:val="Compact"/>
              <w:jc w:val="right"/>
            </w:pPr>
            <w:r>
              <w:t xml:space="preserve">Current guidance</w:t>
            </w:r>
          </w:p>
        </w:tc>
        <w:tc>
          <w:tcPr/>
          <w:p>
            <w:pPr>
              <w:pStyle w:val="Compact"/>
              <w:jc w:val="right"/>
            </w:pPr>
            <w:r>
              <w:t xml:space="preserve">Midpoint</w:t>
            </w:r>
          </w:p>
        </w:tc>
      </w:tr>
      <w:tr>
        <w:tc>
          <w:tcPr/>
          <w:p>
            <w:pPr>
              <w:pStyle w:val="Compact"/>
            </w:pPr>
            <w:r>
              <w:t xml:space="preserve">Net sales</w:t>
            </w:r>
          </w:p>
        </w:tc>
        <w:tc>
          <w:tcPr/>
          <w:p>
            <w:pPr>
              <w:pStyle w:val="Compact"/>
              <w:jc w:val="right"/>
            </w:pPr>
            <m:oMath>
              <m:r>
                <m:t>5.225</m:t>
              </m:r>
              <m:r>
                <m:t>B</m:t>
              </m:r>
              <m:r>
                <m:rPr>
                  <m:sty m:val="p"/>
                </m:rPr>
                <m:t>–</m:t>
              </m:r>
            </m:oMath>
            <w:r>
              <w:t xml:space="preserve">5.375B</w:t>
            </w:r>
          </w:p>
        </w:tc>
        <w:tc>
          <w:tcPr/>
          <w:p>
            <w:pPr>
              <w:pStyle w:val="Compact"/>
              <w:jc w:val="right"/>
            </w:pPr>
            <w:r>
              <w:rPr>
                <w:b/>
                <w:bCs/>
              </w:rPr>
              <w:t xml:space="preserve">$5.300B</w:t>
            </w:r>
          </w:p>
        </w:tc>
      </w:tr>
      <w:tr>
        <w:tc>
          <w:tcPr/>
          <w:p>
            <w:pPr>
              <w:pStyle w:val="Compact"/>
            </w:pPr>
            <w:r>
              <w:t xml:space="preserve">Adjusted operating EBITDA</w:t>
            </w:r>
          </w:p>
        </w:tc>
        <w:tc>
          <w:tcPr/>
          <w:p>
            <w:pPr>
              <w:pStyle w:val="Compact"/>
              <w:jc w:val="right"/>
            </w:pPr>
            <m:oMath>
              <m:r>
                <m:t>1.535</m:t>
              </m:r>
              <m:r>
                <m:t>B</m:t>
              </m:r>
              <m:r>
                <m:rPr>
                  <m:sty m:val="p"/>
                </m:rPr>
                <m:t>–</m:t>
              </m:r>
            </m:oMath>
            <w:r>
              <w:t xml:space="preserve">1.625B</w:t>
            </w:r>
          </w:p>
        </w:tc>
        <w:tc>
          <w:tcPr/>
          <w:p>
            <w:pPr>
              <w:pStyle w:val="Compact"/>
              <w:jc w:val="right"/>
            </w:pPr>
            <w:r>
              <w:rPr>
                <w:b/>
                <w:bCs/>
              </w:rPr>
              <w:t xml:space="preserve">$1.580B</w:t>
            </w:r>
          </w:p>
        </w:tc>
      </w:tr>
      <w:tr>
        <w:tc>
          <w:tcPr/>
          <w:p>
            <w:pPr>
              <w:pStyle w:val="Compact"/>
            </w:pPr>
            <w:r>
              <w:t xml:space="preserve">Adjusted EPS</w:t>
            </w:r>
          </w:p>
        </w:tc>
        <w:tc>
          <w:tcPr/>
          <w:p>
            <w:pPr>
              <w:pStyle w:val="Compact"/>
              <w:jc w:val="right"/>
            </w:pPr>
            <m:oMath>
              <m:r>
                <m:t>3.80</m:t>
              </m:r>
              <m:r>
                <m:rPr>
                  <m:sty m:val="p"/>
                </m:rPr>
                <m:t>–</m:t>
              </m:r>
            </m:oMath>
            <w:r>
              <w:t xml:space="preserve">4.14</w:t>
            </w:r>
          </w:p>
        </w:tc>
        <w:tc>
          <w:tcPr/>
          <w:p>
            <w:pPr>
              <w:pStyle w:val="Compact"/>
              <w:jc w:val="right"/>
            </w:pPr>
            <w:r>
              <w:rPr>
                <w:b/>
                <w:bCs/>
              </w:rPr>
              <w:t xml:space="preserve">$3.97</w:t>
            </w:r>
          </w:p>
        </w:tc>
      </w:tr>
      <w:tr>
        <w:tc>
          <w:tcPr/>
          <w:p>
            <w:pPr>
              <w:pStyle w:val="Compact"/>
            </w:pPr>
            <w:r>
              <w:t xml:space="preserve">Adjusted free cash flow</w:t>
            </w:r>
          </w:p>
        </w:tc>
        <w:tc>
          <w:tcPr/>
          <w:p>
            <w:pPr>
              <w:pStyle w:val="Compact"/>
              <w:jc w:val="right"/>
            </w:pPr>
            <m:oMath>
              <m:r>
                <m:t>500</m:t>
              </m:r>
              <m:r>
                <m:t>M</m:t>
              </m:r>
              <m:r>
                <m:rPr>
                  <m:sty m:val="p"/>
                </m:rPr>
                <m:t>–</m:t>
              </m:r>
            </m:oMath>
            <w:r>
              <w:t xml:space="preserve">600M</w:t>
            </w:r>
          </w:p>
        </w:tc>
        <w:tc>
          <w:tcPr/>
          <w:p>
            <w:pPr>
              <w:pStyle w:val="Compact"/>
              <w:jc w:val="right"/>
            </w:pPr>
            <w:r>
              <w:rPr>
                <w:b/>
                <w:bCs/>
              </w:rPr>
              <w:t xml:space="preserve">$550M</w:t>
            </w:r>
          </w:p>
        </w:tc>
      </w:tr>
    </w:tbl>
    <w:p>
      <w:pPr>
        <w:pStyle w:val="BodyText"/>
      </w:pPr>
      <w:r>
        <w:t xml:space="preserve">Management also increased its semiconductor market wafer-start assumption from mid-single-digit growth to</w:t>
      </w:r>
      <w:r>
        <w:t xml:space="preserve"> </w:t>
      </w:r>
      <w:r>
        <w:rPr>
          <w:b/>
          <w:bCs/>
        </w:rPr>
        <w:t xml:space="preserve">mid- to high-single-digit growth</w:t>
      </w:r>
      <w:r>
        <w:t xml:space="preserve">.</w:t>
      </w:r>
    </w:p>
    <w:p>
      <w:pPr>
        <w:pStyle w:val="BodyText"/>
      </w:pPr>
      <w:r>
        <w:t xml:space="preserve">The current outlook appears reasonably conservative after the strong first quarter. If Q2 sales are approximately $1.37 billion, the midpoint would imply only about $2.62 billion of second-half sales—roughly $1.31 billion per quarter. Similarly, Q2 EBITDA around $405 million would leave approximately $764 million for the second half, or $382 million per quarter.</w:t>
      </w:r>
    </w:p>
    <w:p>
      <w:pPr>
        <w:pStyle w:val="BodyText"/>
      </w:pPr>
      <w:r>
        <w:t xml:space="preserve">In other words, the midpoint permits some second-half moderation.</w:t>
      </w:r>
    </w:p>
    <w:p>
      <w:pPr>
        <w:pStyle w:val="BodyText"/>
      </w:pPr>
      <w:r>
        <w:rPr>
          <w:b/>
          <w:bCs/>
        </w:rPr>
        <w:t xml:space="preserve">Possible outcomes:</w:t>
      </w:r>
    </w:p>
    <w:p>
      <w:pPr>
        <w:pStyle w:val="Compact"/>
        <w:numPr>
          <w:ilvl w:val="0"/>
          <w:numId w:val="1005"/>
        </w:numPr>
      </w:pPr>
      <w:r>
        <w:rPr>
          <w:b/>
          <w:bCs/>
        </w:rPr>
        <w:t xml:space="preserve">Bullish:</w:t>
      </w:r>
      <w:r>
        <w:t xml:space="preserve"> </w:t>
      </w:r>
      <w:r>
        <w:t xml:space="preserve">Management raises sales and EBITDA guidance again, potentially with EPS helped by lower interest expense.</w:t>
      </w:r>
    </w:p>
    <w:p>
      <w:pPr>
        <w:pStyle w:val="Compact"/>
        <w:numPr>
          <w:ilvl w:val="0"/>
          <w:numId w:val="1005"/>
        </w:numPr>
      </w:pPr>
      <w:r>
        <w:rPr>
          <w:b/>
          <w:bCs/>
        </w:rPr>
        <w:t xml:space="preserve">Acceptable:</w:t>
      </w:r>
      <w:r>
        <w:t xml:space="preserve"> </w:t>
      </w:r>
      <w:r>
        <w:t xml:space="preserve">Guidance is reiterated, but management says order books and customer demand support the upper half.</w:t>
      </w:r>
    </w:p>
    <w:p>
      <w:pPr>
        <w:pStyle w:val="Compact"/>
        <w:numPr>
          <w:ilvl w:val="0"/>
          <w:numId w:val="1005"/>
        </w:numPr>
      </w:pPr>
      <w:r>
        <w:rPr>
          <w:b/>
          <w:bCs/>
        </w:rPr>
        <w:t xml:space="preserve">Disappointing:</w:t>
      </w:r>
      <w:r>
        <w:t xml:space="preserve"> </w:t>
      </w:r>
      <w:r>
        <w:t xml:space="preserve">Guidance is reiterated with newly cautious demand language or greater cost pressure.</w:t>
      </w:r>
    </w:p>
    <w:p>
      <w:pPr>
        <w:pStyle w:val="Compact"/>
        <w:numPr>
          <w:ilvl w:val="0"/>
          <w:numId w:val="1005"/>
        </w:numPr>
      </w:pPr>
      <w:r>
        <w:rPr>
          <w:b/>
          <w:bCs/>
        </w:rPr>
        <w:t xml:space="preserve">Bearish:</w:t>
      </w:r>
      <w:r>
        <w:t xml:space="preserve"> </w:t>
      </w:r>
      <w:r>
        <w:t xml:space="preserve">Any reduction in sales, EBITDA, or free-cash-flow guidance.</w:t>
      </w:r>
    </w:p>
    <w:p>
      <w:pPr>
        <w:pStyle w:val="FirstParagraph"/>
      </w:pPr>
      <w:r>
        <w:t xml:space="preserve">Given the stock’s valuation, investors will probably want at least confidence in the</w:t>
      </w:r>
      <w:r>
        <w:t xml:space="preserve"> </w:t>
      </w:r>
      <w:r>
        <w:rPr>
          <w:b/>
          <w:bCs/>
        </w:rPr>
        <w:t xml:space="preserve">upper half</w:t>
      </w:r>
      <w:r>
        <w:t xml:space="preserve"> </w:t>
      </w:r>
      <w:r>
        <w:t xml:space="preserve">of the existing ranges.</w:t>
      </w:r>
    </w:p>
    <w:bookmarkEnd w:id="13"/>
    <w:bookmarkStart w:id="14" w:name="X847bc4e35715ced717c645aec64b470ceb5a431"/>
    <w:p>
      <w:pPr>
        <w:pStyle w:val="Heading3"/>
      </w:pPr>
      <w:r>
        <w:t xml:space="preserve">4. Margin durability versus mix, hiring, and inflation</w:t>
      </w:r>
    </w:p>
    <w:p>
      <w:pPr>
        <w:pStyle w:val="FirstParagraph"/>
      </w:pPr>
      <w:r>
        <w:t xml:space="preserve">Q1 adjusted operating EBITDA margin was</w:t>
      </w:r>
      <w:r>
        <w:t xml:space="preserve"> </w:t>
      </w:r>
      <w:r>
        <w:rPr>
          <w:b/>
          <w:bCs/>
        </w:rPr>
        <w:t xml:space="preserve">31.3%</w:t>
      </w:r>
      <w:r>
        <w:t xml:space="preserve">, helped by volume, operating leverage, and favorable product mix. Management identified three Q2 headwinds:</w:t>
      </w:r>
    </w:p>
    <w:p>
      <w:pPr>
        <w:pStyle w:val="Compact"/>
        <w:numPr>
          <w:ilvl w:val="0"/>
          <w:numId w:val="1006"/>
        </w:numPr>
      </w:pPr>
      <w:r>
        <w:t xml:space="preserve">A greater consumer-electronics mix within ICS;</w:t>
      </w:r>
    </w:p>
    <w:p>
      <w:pPr>
        <w:pStyle w:val="Compact"/>
        <w:numPr>
          <w:ilvl w:val="0"/>
          <w:numId w:val="1006"/>
        </w:numPr>
      </w:pPr>
      <w:r>
        <w:t xml:space="preserve">The full-quarter expense impact of delayed post-spin hiring completed late in Q1; and</w:t>
      </w:r>
    </w:p>
    <w:p>
      <w:pPr>
        <w:pStyle w:val="Compact"/>
        <w:numPr>
          <w:ilvl w:val="0"/>
          <w:numId w:val="1006"/>
        </w:numPr>
      </w:pPr>
      <w:r>
        <w:t xml:space="preserve">Additional hiring to support customer ramps.</w:t>
      </w:r>
    </w:p>
    <w:p>
      <w:pPr>
        <w:pStyle w:val="FirstParagraph"/>
      </w:pPr>
      <w:r>
        <w:t xml:space="preserve">Qnity also incorporated approximately</w:t>
      </w:r>
      <w:r>
        <w:t xml:space="preserve"> </w:t>
      </w:r>
      <w:r>
        <w:rPr>
          <w:b/>
          <w:bCs/>
        </w:rPr>
        <w:t xml:space="preserve">$20 million of raw-material, energy, and logistics inflation</w:t>
      </w:r>
      <w:r>
        <w:t xml:space="preserve"> </w:t>
      </w:r>
      <w:r>
        <w:t xml:space="preserve">for the remainder of 2026 into its outlook. Management expected targeted pricing actions to offset most of the pressure, although timing could create quarterly volatility.</w:t>
      </w:r>
    </w:p>
    <w:p>
      <w:pPr>
        <w:pStyle w:val="BodyText"/>
      </w:pPr>
      <w:r>
        <w:t xml:space="preserve">The headline margin may therefore decline sequentially without indicating a fundamental problem. The more important questions are:</w:t>
      </w:r>
    </w:p>
    <w:p>
      <w:pPr>
        <w:pStyle w:val="Compact"/>
        <w:numPr>
          <w:ilvl w:val="0"/>
          <w:numId w:val="1007"/>
        </w:numPr>
      </w:pPr>
      <w:r>
        <w:t xml:space="preserve">Is the decline consistent with mix and planned investment?</w:t>
      </w:r>
    </w:p>
    <w:p>
      <w:pPr>
        <w:pStyle w:val="Compact"/>
        <w:numPr>
          <w:ilvl w:val="0"/>
          <w:numId w:val="1007"/>
        </w:numPr>
      </w:pPr>
      <w:r>
        <w:t xml:space="preserve">Are pricing actions recovering inflation?</w:t>
      </w:r>
    </w:p>
    <w:p>
      <w:pPr>
        <w:pStyle w:val="Compact"/>
        <w:numPr>
          <w:ilvl w:val="0"/>
          <w:numId w:val="1007"/>
        </w:numPr>
      </w:pPr>
      <w:r>
        <w:t xml:space="preserve">Does ICS remain structurally above its historical mid-20% margin range?</w:t>
      </w:r>
    </w:p>
    <w:p>
      <w:pPr>
        <w:pStyle w:val="Compact"/>
        <w:numPr>
          <w:ilvl w:val="0"/>
          <w:numId w:val="1007"/>
        </w:numPr>
      </w:pPr>
      <w:r>
        <w:t xml:space="preserve">Does Semiconductor Technologies hold the mid-30% level?</w:t>
      </w:r>
    </w:p>
    <w:p>
      <w:pPr>
        <w:pStyle w:val="Compact"/>
        <w:numPr>
          <w:ilvl w:val="0"/>
          <w:numId w:val="1007"/>
        </w:numPr>
      </w:pPr>
      <w:r>
        <w:t xml:space="preserve">Is the company still on track for the transformation program’s targeted</w:t>
      </w:r>
      <w:r>
        <w:t xml:space="preserve"> </w:t>
      </w:r>
      <w:r>
        <w:rPr>
          <w:b/>
          <w:bCs/>
        </w:rPr>
        <w:t xml:space="preserve">$100 million annual EBITDA run-rate benefit by the end of 2028</w:t>
      </w:r>
      <w:r>
        <w:t xml:space="preserve">?</w:t>
      </w:r>
    </w:p>
    <w:p>
      <w:pPr>
        <w:pStyle w:val="FirstParagraph"/>
      </w:pPr>
      <w:r>
        <w:t xml:space="preserve">An EBITDA margin below roughly 29% would need a convincing explanation.</w:t>
      </w:r>
    </w:p>
    <w:bookmarkEnd w:id="14"/>
    <w:bookmarkStart w:id="15" w:name="X194eeb2ae8b7fe3e4b2fc8a139fe403714356a6"/>
    <w:p>
      <w:pPr>
        <w:pStyle w:val="Heading3"/>
      </w:pPr>
      <w:r>
        <w:t xml:space="preserve">5. Cash conversion must accelerate sharply</w:t>
      </w:r>
    </w:p>
    <w:p>
      <w:pPr>
        <w:pStyle w:val="FirstParagraph"/>
      </w:pPr>
      <w:r>
        <w:t xml:space="preserve">Q1 adjusted free cash flow was only</w:t>
      </w:r>
      <w:r>
        <w:t xml:space="preserve"> </w:t>
      </w:r>
      <w:r>
        <w:rPr>
          <w:b/>
          <w:bCs/>
        </w:rPr>
        <w:t xml:space="preserve">$28 million</w:t>
      </w:r>
      <w:r>
        <w:t xml:space="preserve">, versus full-year guidance of</w:t>
      </w:r>
      <w:r>
        <w:t xml:space="preserve"> </w:t>
      </w:r>
      <m:oMath>
        <m:r>
          <m:t>500</m:t>
        </m:r>
        <m:r>
          <m:t>m</m:t>
        </m:r>
        <m:r>
          <m:t>i</m:t>
        </m:r>
        <m:r>
          <m:t>l</m:t>
        </m:r>
        <m:r>
          <m:t>l</m:t>
        </m:r>
        <m:r>
          <m:t>i</m:t>
        </m:r>
        <m:r>
          <m:t>o</m:t>
        </m:r>
        <m:r>
          <m:t>n</m:t>
        </m:r>
        <m:r>
          <m:rPr>
            <m:sty m:val="p"/>
          </m:rPr>
          <m:t>–</m:t>
        </m:r>
      </m:oMath>
      <w:r>
        <w:t xml:space="preserve">600 million. Management said the quarter was in line with expectations because of annual incentive compensation, working-capital timing, and elevated capital investment.</w:t>
      </w:r>
    </w:p>
    <w:p>
      <w:pPr>
        <w:pStyle w:val="BodyText"/>
      </w:pPr>
      <w:r>
        <w:t xml:space="preserve">Full-year capital expenditures are expected to equal approximately</w:t>
      </w:r>
      <w:r>
        <w:t xml:space="preserve"> </w:t>
      </w:r>
      <w:r>
        <w:rPr>
          <w:b/>
          <w:bCs/>
        </w:rPr>
        <w:t xml:space="preserve">9% of sales</w:t>
      </w:r>
      <w:r>
        <w:t xml:space="preserve">, significantly above the company’s longer-term target of roughly 6%. Spending is supporting capacity expansions in Delaware and Taiwan, customer ramps, and Qnity’s separation from DuPont.</w:t>
      </w:r>
    </w:p>
    <w:p>
      <w:pPr>
        <w:pStyle w:val="BodyText"/>
      </w:pPr>
      <w:r>
        <w:t xml:space="preserve">Investors should focus on:</w:t>
      </w:r>
    </w:p>
    <w:p>
      <w:pPr>
        <w:pStyle w:val="Compact"/>
        <w:numPr>
          <w:ilvl w:val="0"/>
          <w:numId w:val="1008"/>
        </w:numPr>
      </w:pPr>
      <w:r>
        <w:t xml:space="preserve">Operating cash flow and working-capital movement;</w:t>
      </w:r>
    </w:p>
    <w:p>
      <w:pPr>
        <w:pStyle w:val="Compact"/>
        <w:numPr>
          <w:ilvl w:val="0"/>
          <w:numId w:val="1008"/>
        </w:numPr>
      </w:pPr>
      <w:r>
        <w:t xml:space="preserve">Inventory growth relative to sales;</w:t>
      </w:r>
    </w:p>
    <w:p>
      <w:pPr>
        <w:pStyle w:val="Compact"/>
        <w:numPr>
          <w:ilvl w:val="0"/>
          <w:numId w:val="1008"/>
        </w:numPr>
      </w:pPr>
      <w:r>
        <w:t xml:space="preserve">Receivables and customer payment trends;</w:t>
      </w:r>
    </w:p>
    <w:p>
      <w:pPr>
        <w:pStyle w:val="Compact"/>
        <w:numPr>
          <w:ilvl w:val="0"/>
          <w:numId w:val="1008"/>
        </w:numPr>
      </w:pPr>
      <w:r>
        <w:t xml:space="preserve">Capital-expenditure timing;</w:t>
      </w:r>
    </w:p>
    <w:p>
      <w:pPr>
        <w:pStyle w:val="Compact"/>
        <w:numPr>
          <w:ilvl w:val="0"/>
          <w:numId w:val="1008"/>
        </w:numPr>
      </w:pPr>
      <w:r>
        <w:t xml:space="preserve">IT-separation and transformation cash costs;</w:t>
      </w:r>
    </w:p>
    <w:p>
      <w:pPr>
        <w:pStyle w:val="Compact"/>
        <w:numPr>
          <w:ilvl w:val="0"/>
          <w:numId w:val="1008"/>
        </w:numPr>
      </w:pPr>
      <w:r>
        <w:t xml:space="preserve">Confidence in reaching at least $500 million of adjusted free cash flow.</w:t>
      </w:r>
    </w:p>
    <w:p>
      <w:pPr>
        <w:pStyle w:val="FirstParagraph"/>
      </w:pPr>
      <w:r>
        <w:t xml:space="preserve">Because Q1 produced only $28 million, the guidance requires a pronounced acceleration during the remaining nine months. A weak Q2 cash result is manageable if management can identify clear timing drivers, but any reduction in the free-cash-flow outlook would be material.</w:t>
      </w:r>
    </w:p>
    <w:p>
      <w:r>
        <w:pict>
          <v:rect style="width:0;height:1.5pt" o:hralign="center" o:hrstd="t" o:hr="t"/>
        </w:pict>
      </w:r>
    </w:p>
    <w:bookmarkEnd w:id="15"/>
    <w:bookmarkEnd w:id="16"/>
    <w:bookmarkStart w:id="17" w:name="balance-sheet-and-capital-allocation"/>
    <w:p>
      <w:pPr>
        <w:pStyle w:val="Heading2"/>
      </w:pPr>
      <w:r>
        <w:t xml:space="preserve">Balance sheet and capital allocation</w:t>
      </w:r>
    </w:p>
    <w:p>
      <w:pPr>
        <w:pStyle w:val="FirstParagraph"/>
      </w:pPr>
      <w:r>
        <w:t xml:space="preserve">Qnity ended Q1 with:</w:t>
      </w:r>
    </w:p>
    <w:p>
      <w:pPr>
        <w:pStyle w:val="Compact"/>
        <w:numPr>
          <w:ilvl w:val="0"/>
          <w:numId w:val="1009"/>
        </w:numPr>
      </w:pPr>
      <w:r>
        <w:rPr>
          <w:b/>
          <w:bCs/>
        </w:rPr>
        <w:t xml:space="preserve">$857 million of cash</w:t>
      </w:r>
      <w:r>
        <w:t xml:space="preserve">;</w:t>
      </w:r>
    </w:p>
    <w:p>
      <w:pPr>
        <w:pStyle w:val="Compact"/>
        <w:numPr>
          <w:ilvl w:val="0"/>
          <w:numId w:val="1009"/>
        </w:numPr>
      </w:pPr>
      <w:r>
        <w:t xml:space="preserve">Approximately</w:t>
      </w:r>
      <w:r>
        <w:t xml:space="preserve"> </w:t>
      </w:r>
      <w:r>
        <w:rPr>
          <w:b/>
          <w:bCs/>
        </w:rPr>
        <w:t xml:space="preserve">$4.0 billion of long-term debt</w:t>
      </w:r>
      <w:r>
        <w:t xml:space="preserve">;</w:t>
      </w:r>
    </w:p>
    <w:p>
      <w:pPr>
        <w:pStyle w:val="Compact"/>
        <w:numPr>
          <w:ilvl w:val="0"/>
          <w:numId w:val="1009"/>
        </w:numPr>
      </w:pPr>
      <w:r>
        <w:t xml:space="preserve">Net leverage of approximately</w:t>
      </w:r>
      <w:r>
        <w:t xml:space="preserve"> </w:t>
      </w:r>
      <w:r>
        <w:rPr>
          <w:b/>
          <w:bCs/>
        </w:rPr>
        <w:t xml:space="preserve">2.2 times</w:t>
      </w:r>
      <w:r>
        <w:t xml:space="preserve">;</w:t>
      </w:r>
    </w:p>
    <w:p>
      <w:pPr>
        <w:pStyle w:val="Compact"/>
        <w:numPr>
          <w:ilvl w:val="0"/>
          <w:numId w:val="1009"/>
        </w:numPr>
      </w:pPr>
      <w:r>
        <w:t xml:space="preserve">$25 million of quarterly share repurchases, primarily to offset dilution; and</w:t>
      </w:r>
    </w:p>
    <w:p>
      <w:pPr>
        <w:pStyle w:val="Compact"/>
        <w:numPr>
          <w:ilvl w:val="0"/>
          <w:numId w:val="1009"/>
        </w:numPr>
      </w:pPr>
      <w:r>
        <w:t xml:space="preserve">A quarterly dividend.</w:t>
      </w:r>
    </w:p>
    <w:p>
      <w:pPr>
        <w:pStyle w:val="FirstParagraph"/>
      </w:pPr>
      <w:r>
        <w:t xml:space="preserve">On July 1, Qnity repriced its</w:t>
      </w:r>
      <w:r>
        <w:t xml:space="preserve"> </w:t>
      </w:r>
      <m:oMath>
        <m:r>
          <m:t>2.338</m:t>
        </m:r>
        <m:r>
          <m:t>b</m:t>
        </m:r>
        <m:r>
          <m:t>i</m:t>
        </m:r>
        <m:r>
          <m:t>l</m:t>
        </m:r>
        <m:r>
          <m:t>l</m:t>
        </m:r>
        <m:r>
          <m:t>i</m:t>
        </m:r>
        <m:r>
          <m:t>o</m:t>
        </m:r>
        <m:r>
          <m:t>n</m:t>
        </m:r>
        <m:r>
          <m:t>t</m:t>
        </m:r>
        <m:r>
          <m:t>e</m:t>
        </m:r>
        <m:r>
          <m:t>r</m:t>
        </m:r>
        <m:r>
          <m:t>m</m:t>
        </m:r>
        <m:r>
          <m:t>l</m:t>
        </m:r>
        <m:r>
          <m:t>o</m:t>
        </m:r>
        <m:r>
          <m:t>a</m:t>
        </m:r>
        <m:r>
          <m:t>n</m:t>
        </m:r>
        <m:r>
          <m:rPr>
            <m:sty m:val="p"/>
          </m:rPr>
          <m:t>*</m:t>
        </m:r>
        <m:r>
          <m:rPr>
            <m:sty m:val="p"/>
          </m:rPr>
          <m:t>*</m:t>
        </m:r>
        <m:r>
          <m:rPr>
            <m:sty m:val="p"/>
          </m:rPr>
          <m:t>,</m:t>
        </m:r>
        <m:r>
          <m:t>r</m:t>
        </m:r>
        <m:r>
          <m:t>e</m:t>
        </m:r>
        <m:r>
          <m:t>d</m:t>
        </m:r>
        <m:r>
          <m:t>u</m:t>
        </m:r>
        <m:r>
          <m:t>c</m:t>
        </m:r>
        <m:r>
          <m:t>i</m:t>
        </m:r>
        <m:r>
          <m:t>n</m:t>
        </m:r>
        <m:r>
          <m:t>g</m:t>
        </m:r>
        <m:r>
          <m:t>t</m:t>
        </m:r>
        <m:r>
          <m:t>h</m:t>
        </m:r>
        <m:r>
          <m:t>e</m:t>
        </m:r>
        <m:r>
          <m:t>s</m:t>
        </m:r>
        <m:r>
          <m:t>p</m:t>
        </m:r>
        <m:r>
          <m:t>r</m:t>
        </m:r>
        <m:r>
          <m:t>e</m:t>
        </m:r>
        <m:r>
          <m:t>a</m:t>
        </m:r>
        <m:r>
          <m:t>d</m:t>
        </m:r>
        <m:r>
          <m:t>b</m:t>
        </m:r>
        <m:r>
          <m:t>y</m:t>
        </m:r>
        <m:r>
          <m:t>25</m:t>
        </m:r>
        <m:r>
          <m:t>b</m:t>
        </m:r>
        <m:r>
          <m:t>a</m:t>
        </m:r>
        <m:r>
          <m:t>s</m:t>
        </m:r>
        <m:r>
          <m:t>i</m:t>
        </m:r>
        <m:r>
          <m:t>s</m:t>
        </m:r>
        <m:r>
          <m:t>p</m:t>
        </m:r>
        <m:r>
          <m:t>o</m:t>
        </m:r>
        <m:r>
          <m:t>i</m:t>
        </m:r>
        <m:r>
          <m:t>n</m:t>
        </m:r>
        <m:r>
          <m:t>t</m:t>
        </m:r>
        <m:r>
          <m:t>s</m:t>
        </m:r>
        <m:r>
          <m:t>t</m:t>
        </m:r>
        <m:r>
          <m:t>o</m:t>
        </m:r>
        <m:r>
          <m:t>S</m:t>
        </m:r>
        <m:r>
          <m:t>O</m:t>
        </m:r>
        <m:r>
          <m:t>F</m:t>
        </m:r>
        <m:r>
          <m:t>R</m:t>
        </m:r>
        <m:r>
          <m:t>p</m:t>
        </m:r>
        <m:r>
          <m:t>l</m:t>
        </m:r>
        <m:r>
          <m:t>u</m:t>
        </m:r>
        <m:r>
          <m:t>s</m:t>
        </m:r>
        <m:r>
          <m:t>1.75</m:t>
        </m:r>
      </m:oMath>
      <w:r>
        <w:rPr>
          <w:b/>
          <w:bCs/>
        </w:rPr>
        <w:t xml:space="preserve">5.8 million annually before tax</w:t>
      </w:r>
      <w:r>
        <w:t xml:space="preserve">, all else equal, although the change took effect after Q2 ended and therefore is principally a second-half and 2027 benefit.</w:t>
      </w:r>
    </w:p>
    <w:p>
      <w:pPr>
        <w:pStyle w:val="BodyText"/>
      </w:pPr>
      <w:r>
        <w:t xml:space="preserve">The repricing is modest for earnings but positive for financial flexibility. More important will be management’s priorities between debt reduction, organic capacity investment, dividends, and incremental repurchases.</w:t>
      </w:r>
    </w:p>
    <w:p>
      <w:r>
        <w:pict>
          <v:rect style="width:0;height:1.5pt" o:hralign="center" o:hrstd="t" o:hr="t"/>
        </w:pict>
      </w:r>
    </w:p>
    <w:bookmarkEnd w:id="17"/>
    <w:bookmarkStart w:id="21" w:name="other-items-to-monitor"/>
    <w:p>
      <w:pPr>
        <w:pStyle w:val="Heading2"/>
      </w:pPr>
      <w:r>
        <w:t xml:space="preserve">Other items to monitor</w:t>
      </w:r>
    </w:p>
    <w:bookmarkStart w:id="18" w:name="leadership-appointments"/>
    <w:p>
      <w:pPr>
        <w:pStyle w:val="Heading3"/>
      </w:pPr>
      <w:r>
        <w:t xml:space="preserve">Leadership appointments</w:t>
      </w:r>
    </w:p>
    <w:p>
      <w:pPr>
        <w:pStyle w:val="FirstParagraph"/>
      </w:pPr>
      <w:r>
        <w:t xml:space="preserve">At the Q1 call, Qnity was still searching for:</w:t>
      </w:r>
    </w:p>
    <w:p>
      <w:pPr>
        <w:pStyle w:val="Compact"/>
        <w:numPr>
          <w:ilvl w:val="0"/>
          <w:numId w:val="1010"/>
        </w:numPr>
      </w:pPr>
      <w:r>
        <w:t xml:space="preserve">A permanent chief financial officer; and</w:t>
      </w:r>
    </w:p>
    <w:p>
      <w:pPr>
        <w:pStyle w:val="Compact"/>
        <w:numPr>
          <w:ilvl w:val="0"/>
          <w:numId w:val="1010"/>
        </w:numPr>
      </w:pPr>
      <w:r>
        <w:t xml:space="preserve">A leader for Semiconductor Technologies.</w:t>
      </w:r>
    </w:p>
    <w:p>
      <w:pPr>
        <w:pStyle w:val="FirstParagraph"/>
      </w:pPr>
      <w:r>
        <w:t xml:space="preserve">Management said candidate pipelines were strong. An update would help reduce execution uncertainty for a company still early in its life as an independent public entity.</w:t>
      </w:r>
    </w:p>
    <w:bookmarkEnd w:id="18"/>
    <w:bookmarkStart w:id="19" w:name="china-trade-and-geopolitical-exposure"/>
    <w:p>
      <w:pPr>
        <w:pStyle w:val="Heading3"/>
      </w:pPr>
      <w:r>
        <w:t xml:space="preserve">China, trade, and geopolitical exposure</w:t>
      </w:r>
    </w:p>
    <w:p>
      <w:pPr>
        <w:pStyle w:val="FirstParagraph"/>
      </w:pPr>
      <w:r>
        <w:t xml:space="preserve">Approximately 79% of Q1 sales came from Asia-Pacific. The local-for-local manufacturing model provides some protection, but Qnity remains exposed to:</w:t>
      </w:r>
    </w:p>
    <w:p>
      <w:pPr>
        <w:pStyle w:val="Compact"/>
        <w:numPr>
          <w:ilvl w:val="0"/>
          <w:numId w:val="1011"/>
        </w:numPr>
      </w:pPr>
      <w:r>
        <w:t xml:space="preserve">Export controls and trade restrictions;</w:t>
      </w:r>
    </w:p>
    <w:p>
      <w:pPr>
        <w:pStyle w:val="Compact"/>
        <w:numPr>
          <w:ilvl w:val="0"/>
          <w:numId w:val="1011"/>
        </w:numPr>
      </w:pPr>
      <w:r>
        <w:t xml:space="preserve">Regional supply-chain disruptions;</w:t>
      </w:r>
    </w:p>
    <w:p>
      <w:pPr>
        <w:pStyle w:val="Compact"/>
        <w:numPr>
          <w:ilvl w:val="0"/>
          <w:numId w:val="1011"/>
        </w:numPr>
      </w:pPr>
      <w:r>
        <w:t xml:space="preserve">Customer concentration in Asian semiconductor production;</w:t>
      </w:r>
    </w:p>
    <w:p>
      <w:pPr>
        <w:pStyle w:val="Compact"/>
        <w:numPr>
          <w:ilvl w:val="0"/>
          <w:numId w:val="1011"/>
        </w:numPr>
      </w:pPr>
      <w:r>
        <w:t xml:space="preserve">Raw-material and logistics inflation; and</w:t>
      </w:r>
    </w:p>
    <w:p>
      <w:pPr>
        <w:pStyle w:val="Compact"/>
        <w:numPr>
          <w:ilvl w:val="0"/>
          <w:numId w:val="1011"/>
        </w:numPr>
      </w:pPr>
      <w:r>
        <w:t xml:space="preserve">Changes in Chinese mature-node demand.</w:t>
      </w:r>
    </w:p>
    <w:p>
      <w:pPr>
        <w:pStyle w:val="FirstParagraph"/>
      </w:pPr>
      <w:r>
        <w:t xml:space="preserve">Management previously said its China semiconductor exposure was primarily in mature logic rather than the most advanced memory technologies. Any change in that posture deserves attention.</w:t>
      </w:r>
    </w:p>
    <w:bookmarkEnd w:id="19"/>
    <w:bookmarkStart w:id="20" w:name="comparability-and-earnings-quality"/>
    <w:p>
      <w:pPr>
        <w:pStyle w:val="Heading3"/>
      </w:pPr>
      <w:r>
        <w:t xml:space="preserve">Comparability and earnings quality</w:t>
      </w:r>
    </w:p>
    <w:p>
      <w:pPr>
        <w:pStyle w:val="FirstParagraph"/>
      </w:pPr>
      <w:r>
        <w:t xml:space="preserve">Qnity separated from DuPont in late 2025. Prior-year comparisons include pro forma adjustments for interest, standalone corporate costs, transition-service agreements, and related items.</w:t>
      </w:r>
    </w:p>
    <w:p>
      <w:pPr>
        <w:pStyle w:val="BodyText"/>
      </w:pPr>
      <w:r>
        <w:t xml:space="preserve">Investors should distinguish:</w:t>
      </w:r>
    </w:p>
    <w:p>
      <w:pPr>
        <w:pStyle w:val="Compact"/>
        <w:numPr>
          <w:ilvl w:val="0"/>
          <w:numId w:val="1012"/>
        </w:numPr>
      </w:pPr>
      <w:r>
        <w:t xml:space="preserve">Organic operating improvement;</w:t>
      </w:r>
    </w:p>
    <w:p>
      <w:pPr>
        <w:pStyle w:val="Compact"/>
        <w:numPr>
          <w:ilvl w:val="0"/>
          <w:numId w:val="1012"/>
        </w:numPr>
      </w:pPr>
      <w:r>
        <w:t xml:space="preserve">Favorable pro forma comparison effects;</w:t>
      </w:r>
    </w:p>
    <w:p>
      <w:pPr>
        <w:pStyle w:val="Compact"/>
        <w:numPr>
          <w:ilvl w:val="0"/>
          <w:numId w:val="1012"/>
        </w:numPr>
      </w:pPr>
      <w:r>
        <w:t xml:space="preserve">Excluded transformation and IT-separation charges; and</w:t>
      </w:r>
    </w:p>
    <w:p>
      <w:pPr>
        <w:pStyle w:val="Compact"/>
        <w:numPr>
          <w:ilvl w:val="0"/>
          <w:numId w:val="1012"/>
        </w:numPr>
      </w:pPr>
      <w:r>
        <w:t xml:space="preserve">Actual GAAP cash generation.</w:t>
      </w:r>
    </w:p>
    <w:p>
      <w:pPr>
        <w:pStyle w:val="FirstParagraph"/>
      </w:pPr>
      <w:r>
        <w:t xml:space="preserve">Adjusted EPS is useful, but EBITDA-to-cash conversion will increasingly determine the credibility of the investment case.</w:t>
      </w:r>
    </w:p>
    <w:p>
      <w:r>
        <w:pict>
          <v:rect style="width:0;height:1.5pt" o:hralign="center" o:hrstd="t" o:hr="t"/>
        </w:pict>
      </w:r>
    </w:p>
    <w:bookmarkEnd w:id="20"/>
    <w:bookmarkEnd w:id="21"/>
    <w:bookmarkStart w:id="22" w:name="stock-and-valuation-setup"/>
    <w:p>
      <w:pPr>
        <w:pStyle w:val="Heading2"/>
      </w:pPr>
      <w:r>
        <w:t xml:space="preserve">Stock and valuation setup</w:t>
      </w:r>
    </w:p>
    <w:p>
      <w:pPr>
        <w:pStyle w:val="FirstParagraph"/>
      </w:pPr>
      <w:r>
        <w:t xml:space="preserve">At the August 3 close of $133.33:</w:t>
      </w:r>
    </w:p>
    <w:p>
      <w:pPr>
        <w:pStyle w:val="Compact"/>
        <w:numPr>
          <w:ilvl w:val="0"/>
          <w:numId w:val="1013"/>
        </w:numPr>
      </w:pPr>
      <w:r>
        <w:t xml:space="preserve">Market capitalization is approximately</w:t>
      </w:r>
      <w:r>
        <w:t xml:space="preserve"> </w:t>
      </w:r>
      <w:r>
        <w:rPr>
          <w:b/>
          <w:bCs/>
        </w:rPr>
        <w:t xml:space="preserve">$27.9 billion</w:t>
      </w:r>
      <w:r>
        <w:t xml:space="preserve">, using Q1 shares outstanding.</w:t>
      </w:r>
    </w:p>
    <w:p>
      <w:pPr>
        <w:pStyle w:val="Compact"/>
        <w:numPr>
          <w:ilvl w:val="0"/>
          <w:numId w:val="1013"/>
        </w:numPr>
      </w:pPr>
      <w:r>
        <w:t xml:space="preserve">The stock trades at about</w:t>
      </w:r>
      <w:r>
        <w:t xml:space="preserve"> </w:t>
      </w:r>
      <w:r>
        <w:rPr>
          <w:b/>
          <w:bCs/>
        </w:rPr>
        <w:t xml:space="preserve">33.6 times</w:t>
      </w:r>
      <w:r>
        <w:t xml:space="preserve"> </w:t>
      </w:r>
      <w:r>
        <w:t xml:space="preserve">the $3.97 midpoint of adjusted EPS guidance.</w:t>
      </w:r>
    </w:p>
    <w:p>
      <w:pPr>
        <w:pStyle w:val="Compact"/>
        <w:numPr>
          <w:ilvl w:val="0"/>
          <w:numId w:val="1013"/>
        </w:numPr>
      </w:pPr>
      <w:r>
        <w:t xml:space="preserve">Using Q1 cash and debt, enterprise value is approximately</w:t>
      </w:r>
      <w:r>
        <w:t xml:space="preserve"> </w:t>
      </w:r>
      <w:r>
        <w:rPr>
          <w:b/>
          <w:bCs/>
        </w:rPr>
        <w:t xml:space="preserve">19.7 times</w:t>
      </w:r>
      <w:r>
        <w:t xml:space="preserve"> </w:t>
      </w:r>
      <w:r>
        <w:t xml:space="preserve">the midpoint of adjusted EBITDA guidance.</w:t>
      </w:r>
    </w:p>
    <w:p>
      <w:pPr>
        <w:pStyle w:val="FirstParagraph"/>
      </w:pPr>
      <w:r>
        <w:t xml:space="preserve">Those multiples reflect expectations for sustained above-market growth and continued AI-related content gains. The recent share-price decline improves the setup, but valuation still leaves limited room for weaker growth, margin slippage, or poor cash conversion.</w:t>
      </w:r>
    </w:p>
    <w:p>
      <w:r>
        <w:pict>
          <v:rect style="width:0;height:1.5pt" o:hralign="center" o:hrstd="t" o:hr="t"/>
        </w:pict>
      </w:r>
    </w:p>
    <w:bookmarkEnd w:id="22"/>
    <w:bookmarkStart w:id="23" w:name="scenario-framework"/>
    <w:p>
      <w:pPr>
        <w:pStyle w:val="Heading2"/>
      </w:pPr>
      <w:r>
        <w:t xml:space="preserve">Scenario framework</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Scenario</w:t>
            </w:r>
          </w:p>
        </w:tc>
        <w:tc>
          <w:tcPr/>
          <w:p>
            <w:pPr>
              <w:pStyle w:val="Compact"/>
            </w:pPr>
            <w:r>
              <w:t xml:space="preserve">What it likely looks like</w:t>
            </w:r>
          </w:p>
        </w:tc>
        <w:tc>
          <w:tcPr/>
          <w:p>
            <w:pPr>
              <w:pStyle w:val="Compact"/>
            </w:pPr>
            <w:r>
              <w:t xml:space="preserve">Likely interpretation</w:t>
            </w:r>
          </w:p>
        </w:tc>
      </w:tr>
      <w:tr>
        <w:tc>
          <w:tcPr/>
          <w:p>
            <w:pPr>
              <w:pStyle w:val="Compact"/>
            </w:pPr>
            <w:r>
              <w:rPr>
                <w:b/>
                <w:bCs/>
              </w:rPr>
              <w:t xml:space="preserve">Bull case</w:t>
            </w:r>
          </w:p>
        </w:tc>
        <w:tc>
          <w:tcPr/>
          <w:p>
            <w:pPr>
              <w:pStyle w:val="Compact"/>
            </w:pPr>
            <w:r>
              <w:t xml:space="preserve">Sales above $1.39B; ICS growth above high-single digits; EBITDA margin near 31%; guidance raised or upper-half confidence</w:t>
            </w:r>
          </w:p>
        </w:tc>
        <w:tc>
          <w:tcPr/>
          <w:p>
            <w:pPr>
              <w:pStyle w:val="Compact"/>
            </w:pPr>
            <w:r>
              <w:t xml:space="preserve">AI-linked growth and margin durability are exceeding expectations</w:t>
            </w:r>
          </w:p>
        </w:tc>
      </w:tr>
      <w:tr>
        <w:tc>
          <w:tcPr/>
          <w:p>
            <w:pPr>
              <w:pStyle w:val="Compact"/>
            </w:pPr>
            <w:r>
              <w:rPr>
                <w:b/>
                <w:bCs/>
              </w:rPr>
              <w:t xml:space="preserve">Base case</w:t>
            </w:r>
          </w:p>
        </w:tc>
        <w:tc>
          <w:tcPr/>
          <w:p>
            <w:pPr>
              <w:pStyle w:val="Compact"/>
            </w:pPr>
            <w:r>
              <w:t xml:space="preserve">Sales of</w:t>
            </w:r>
            <w:r>
              <w:t xml:space="preserve"> </w:t>
            </w:r>
            <m:oMath>
              <m:r>
                <m:t>1.36</m:t>
              </m:r>
              <m:r>
                <m:t>B</m:t>
              </m:r>
              <m:r>
                <m:rPr>
                  <m:sty m:val="p"/>
                </m:rPr>
                <m:t>–</m:t>
              </m:r>
            </m:oMath>
            <w:r>
              <w:t xml:space="preserve">1.39B; EBITDA around</w:t>
            </w:r>
            <w:r>
              <w:t xml:space="preserve"> </w:t>
            </w:r>
            <m:oMath>
              <m:r>
                <m:t>400</m:t>
              </m:r>
              <m:r>
                <m:t>M</m:t>
              </m:r>
              <m:r>
                <m:rPr>
                  <m:sty m:val="p"/>
                </m:rPr>
                <m:t>–</m:t>
              </m:r>
            </m:oMath>
            <w:r>
              <w:t xml:space="preserve">415M; guidance reiterated; constructive order commentary</w:t>
            </w:r>
          </w:p>
        </w:tc>
        <w:tc>
          <w:tcPr/>
          <w:p>
            <w:pPr>
              <w:pStyle w:val="Compact"/>
            </w:pPr>
            <w:r>
              <w:t xml:space="preserve">Thesis intact, but reaction may depend on guidance tone and valuation</w:t>
            </w:r>
          </w:p>
        </w:tc>
      </w:tr>
      <w:tr>
        <w:tc>
          <w:tcPr/>
          <w:p>
            <w:pPr>
              <w:pStyle w:val="Compact"/>
            </w:pPr>
            <w:r>
              <w:rPr>
                <w:b/>
                <w:bCs/>
              </w:rPr>
              <w:t xml:space="preserve">Bear case</w:t>
            </w:r>
          </w:p>
        </w:tc>
        <w:tc>
          <w:tcPr/>
          <w:p>
            <w:pPr>
              <w:pStyle w:val="Compact"/>
            </w:pPr>
            <w:r>
              <w:t xml:space="preserve">Sales below $1.35B; ICS margin falls sharply; Semi misses flat-growth expectation; cautious H2 commentary</w:t>
            </w:r>
          </w:p>
        </w:tc>
        <w:tc>
          <w:tcPr/>
          <w:p>
            <w:pPr>
              <w:pStyle w:val="Compact"/>
            </w:pPr>
            <w:r>
              <w:t xml:space="preserve">Raises concern that Q1 included temporary inventory or mix benefits</w:t>
            </w:r>
          </w:p>
        </w:tc>
      </w:tr>
      <w:tr>
        <w:tc>
          <w:tcPr/>
          <w:p>
            <w:pPr>
              <w:pStyle w:val="Compact"/>
            </w:pPr>
            <w:r>
              <w:rPr>
                <w:b/>
                <w:bCs/>
              </w:rPr>
              <w:t xml:space="preserve">Severe downside</w:t>
            </w:r>
          </w:p>
        </w:tc>
        <w:tc>
          <w:tcPr/>
          <w:p>
            <w:pPr>
              <w:pStyle w:val="Compact"/>
            </w:pPr>
            <w:r>
              <w:t xml:space="preserve">Guidance or free-cash-flow target cut</w:t>
            </w:r>
          </w:p>
        </w:tc>
        <w:tc>
          <w:tcPr/>
          <w:p>
            <w:pPr>
              <w:pStyle w:val="Compact"/>
            </w:pPr>
            <w:r>
              <w:t xml:space="preserve">Challenges both earnings quality and the premium valuation</w:t>
            </w:r>
          </w:p>
        </w:tc>
      </w:tr>
    </w:tbl>
    <w:p>
      <w:r>
        <w:pict>
          <v:rect style="width:0;height:1.5pt" o:hralign="center" o:hrstd="t" o:hr="t"/>
        </w:pict>
      </w:r>
    </w:p>
    <w:bookmarkEnd w:id="23"/>
    <w:bookmarkStart w:id="24" w:name="questions-management-needs-to-answer"/>
    <w:p>
      <w:pPr>
        <w:pStyle w:val="Heading2"/>
      </w:pPr>
      <w:r>
        <w:t xml:space="preserve">Questions management needs to answer</w:t>
      </w:r>
    </w:p>
    <w:p>
      <w:pPr>
        <w:pStyle w:val="Compact"/>
        <w:numPr>
          <w:ilvl w:val="0"/>
          <w:numId w:val="1014"/>
        </w:numPr>
      </w:pPr>
      <w:r>
        <w:t xml:space="preserve">How much did advanced packaging, thermal management, and AI PCB sales grow in Q2?</w:t>
      </w:r>
    </w:p>
    <w:p>
      <w:pPr>
        <w:pStyle w:val="Compact"/>
        <w:numPr>
          <w:ilvl w:val="0"/>
          <w:numId w:val="1014"/>
        </w:numPr>
      </w:pPr>
      <w:r>
        <w:t xml:space="preserve">Is ICS growth still being driven primarily by process-of-record share gains, or is customer inventory contributing?</w:t>
      </w:r>
    </w:p>
    <w:p>
      <w:pPr>
        <w:pStyle w:val="Compact"/>
        <w:numPr>
          <w:ilvl w:val="0"/>
          <w:numId w:val="1014"/>
        </w:numPr>
      </w:pPr>
      <w:r>
        <w:t xml:space="preserve">Did Q1’s $20 million semiconductor restocking benefit reverse in Q2?</w:t>
      </w:r>
    </w:p>
    <w:p>
      <w:pPr>
        <w:pStyle w:val="Compact"/>
        <w:numPr>
          <w:ilvl w:val="0"/>
          <w:numId w:val="1014"/>
        </w:numPr>
      </w:pPr>
      <w:r>
        <w:t xml:space="preserve">What are current DRAM, NAND, mature-logic, and advanced-logic utilization assumptions?</w:t>
      </w:r>
    </w:p>
    <w:p>
      <w:pPr>
        <w:pStyle w:val="Compact"/>
        <w:numPr>
          <w:ilvl w:val="0"/>
          <w:numId w:val="1014"/>
        </w:numPr>
      </w:pPr>
      <w:r>
        <w:t xml:space="preserve">Is Qnity tracking toward the upper half of full-year revenue and EBITDA guidance?</w:t>
      </w:r>
    </w:p>
    <w:p>
      <w:pPr>
        <w:pStyle w:val="Compact"/>
        <w:numPr>
          <w:ilvl w:val="0"/>
          <w:numId w:val="1014"/>
        </w:numPr>
      </w:pPr>
      <w:r>
        <w:t xml:space="preserve">How much of the expected $20 million inflation burden has already been recovered through pricing?</w:t>
      </w:r>
    </w:p>
    <w:p>
      <w:pPr>
        <w:pStyle w:val="Compact"/>
        <w:numPr>
          <w:ilvl w:val="0"/>
          <w:numId w:val="1014"/>
        </w:numPr>
      </w:pPr>
      <w:r>
        <w:t xml:space="preserve">What explains the expected second-half free-cash-flow ramp?</w:t>
      </w:r>
    </w:p>
    <w:p>
      <w:pPr>
        <w:pStyle w:val="Compact"/>
        <w:numPr>
          <w:ilvl w:val="0"/>
          <w:numId w:val="1014"/>
        </w:numPr>
      </w:pPr>
      <w:r>
        <w:t xml:space="preserve">Are the Delaware and Taiwan capacity projects on schedule and on budget?</w:t>
      </w:r>
    </w:p>
    <w:p>
      <w:pPr>
        <w:pStyle w:val="Compact"/>
        <w:numPr>
          <w:ilvl w:val="0"/>
          <w:numId w:val="1014"/>
        </w:numPr>
      </w:pPr>
      <w:r>
        <w:t xml:space="preserve">When should investors expect permanent CFO and Semiconductor Technologies leadership appointments?</w:t>
      </w:r>
    </w:p>
    <w:p>
      <w:pPr>
        <w:pStyle w:val="Compact"/>
        <w:numPr>
          <w:ilvl w:val="0"/>
          <w:numId w:val="1014"/>
        </w:numPr>
      </w:pPr>
      <w:r>
        <w:t xml:space="preserve">Is Qnity’s data-center exposure now clearly above the approximately 20% level discussed in Q1?</w:t>
      </w:r>
    </w:p>
    <w:bookmarkEnd w:id="24"/>
    <w:bookmarkStart w:id="25" w:name="bottom-line"/>
    <w:p>
      <w:pPr>
        <w:pStyle w:val="Heading2"/>
      </w:pPr>
      <w:r>
        <w:t xml:space="preserve">Bottom line</w:t>
      </w:r>
    </w:p>
    <w:p>
      <w:pPr>
        <w:pStyle w:val="FirstParagraph"/>
      </w:pPr>
      <w:r>
        <w:t xml:space="preserve">The strongest result would combine</w:t>
      </w:r>
      <w:r>
        <w:t xml:space="preserve"> </w:t>
      </w:r>
      <w:r>
        <w:rPr>
          <w:b/>
          <w:bCs/>
        </w:rPr>
        <w:t xml:space="preserve">continued exceptional ICS growth, stable Semiconductor Technologies sales after adjusting for Q1 restocking, and confidence in the upper half or an increase to full-year guidance</w:t>
      </w:r>
      <w:r>
        <w:t xml:space="preserve">.</w:t>
      </w:r>
    </w:p>
    <w:p>
      <w:pPr>
        <w:pStyle w:val="BodyText"/>
      </w:pPr>
      <w:r>
        <w:t xml:space="preserve">The most important downside signal would not be modest sequential margin compression by itself; management already telegraphed that. It would be evidence that AI-related interconnect growth is slowing, semiconductor demand is weaker than anticipated, or free-cash-flow conversion is slipping.</w:t>
      </w:r>
    </w:p>
    <w:p>
      <w:pPr>
        <w:pStyle w:val="BodyText"/>
      </w:pPr>
      <w:r>
        <w:t xml:space="preserve">After the stock’s pullback, expectations are less elevated than immediately after Q1. Nevertheless, at roughly 34 times guidance-midpoint EPS, Qnity still needs to demonstrate that its “shrink-to-stack” exposure is producing durable growth—not merely a strong early-cycle quarter.</w:t>
      </w:r>
    </w:p>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2026-08-04T00:17:16Z</dcterms:created>
  <dcterms:modified xsi:type="dcterms:W3CDTF">2026-08-04T00:17:16Z</dcterms:modified>
</cp:coreProperties>
</file>

<file path=docProps/custom.xml><?xml version="1.0" encoding="utf-8"?>
<Properties xmlns="http://schemas.openxmlformats.org/officeDocument/2006/custom-properties" xmlns:vt="http://schemas.openxmlformats.org/officeDocument/2006/docPropsVTypes"/>
</file>