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q-earnings-predictions--2026-08-04"/>
    <w:p>
      <w:pPr>
        <w:pStyle w:val="Heading1"/>
      </w:pPr>
      <w:r>
        <w:t xml:space="preserve">Q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~$1.395B vs. cons $1.375B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~$433M vs. cons $426M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~$1.16 vs. cons $1.13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net sales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~$5.425B midpoint vs. cons $5.400B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EBITDA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~$1.635B midpoint vs. cons $1.625B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~$4.12 midpoint vs. cons $4.08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free-cash-flow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~$590M midpoint vs. cons $565M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Q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+8.0% (FOLLOW-THROUGH)</w:t>
            </w:r>
          </w:p>
        </w:tc>
        <w:tc>
          <w:tcPr/>
          <w:p>
            <w:pPr>
              <w:pStyle w:val="Compact"/>
            </w:pPr>
            <w:r>
              <w:t xml:space="preserve">A ~$1.395B revenue print versus</w:t>
            </w:r>
            <w:r>
              <w:t xml:space="preserve"> </w:t>
            </w:r>
            <m:oMath>
              <m:r>
                <m:t>1.375</m:t>
              </m:r>
              <m:r>
                <m:t>B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t>a</m:t>
              </m:r>
              <m:r>
                <m:t>n</m:t>
              </m:r>
              <m:r>
                <m:t>d</m:t>
              </m:r>
              <m:r>
                <m:t> </m:t>
              </m:r>
            </m:oMath>
            <w:r>
              <w:t xml:space="preserve">433M EBITDA versus</w:t>
            </w:r>
            <w:r>
              <w:t xml:space="preserve"> </w:t>
            </w:r>
            <m:oMath>
              <m:r>
                <m:t>426</m:t>
              </m:r>
              <m:r>
                <m:t>M</m:t>
              </m:r>
              <m:r>
                <m:t>s</m:t>
              </m:r>
              <m:r>
                <m:t>h</m:t>
              </m:r>
              <m:r>
                <m:t>o</m:t>
              </m:r>
              <m:r>
                <m:t>u</m:t>
              </m:r>
              <m:r>
                <m:t>l</m:t>
              </m:r>
              <m:r>
                <m:t>d</m:t>
              </m:r>
              <m:r>
                <m:t>b</m:t>
              </m:r>
              <m:r>
                <m:t>e</m:t>
              </m:r>
              <m:r>
                <m:t>p</m:t>
              </m:r>
              <m:r>
                <m:t>a</m:t>
              </m:r>
              <m:r>
                <m:t>i</m:t>
              </m:r>
              <m:r>
                <m:t>r</m:t>
              </m:r>
              <m:r>
                <m:t>e</m:t>
              </m:r>
              <m:r>
                <m:t>d</m:t>
              </m:r>
              <m:r>
                <m:t>w</m:t>
              </m:r>
              <m:r>
                <m:t>i</m:t>
              </m:r>
              <m:r>
                <m:t>t</m:t>
              </m:r>
              <m:r>
                <m:t>h</m:t>
              </m:r>
              <m:r>
                <m:t>a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s</m:t>
              </m:r>
              <m:r>
                <m:t>a</m:t>
              </m:r>
              <m:r>
                <m:t>l</m:t>
              </m:r>
              <m:r>
                <m:t>e</m:t>
              </m:r>
              <m:r>
                <m:t>s</m:t>
              </m:r>
              <m:r>
                <m:rPr>
                  <m:sty m:val="p"/>
                </m:rPr>
                <m:t>−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e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5.425B versus $5.400B consensus; that creates positive out-period revenue, EBITDA, EPS, and FCF revision math rather than leaving a one-quarter beat to fade.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2026-08-04T00:16:41Z</dcterms:created>
  <dcterms:modified xsi:type="dcterms:W3CDTF">2026-08-04T00:16:41Z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