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706115efa5b987e94db0022dc66240eb9b9cfd"/>
    <w:p>
      <w:pPr>
        <w:pStyle w:val="Heading1"/>
      </w:pPr>
      <w:r>
        <w:t xml:space="preserve">Qnity Electronics (NYSE: Q) — 2Q26 Earnings Preview</w:t>
      </w:r>
    </w:p>
    <w:p>
      <w:pPr>
        <w:pStyle w:val="BlockText"/>
      </w:pPr>
      <w:r>
        <w:rPr>
          <w:b/>
          <w:bCs/>
        </w:rPr>
        <w:t xml:space="preserve">Timing correction:</w:t>
      </w:r>
      <w:r>
        <w:t xml:space="preserve"> </w:t>
      </w:r>
      <w:r>
        <w:t xml:space="preserve">August 4, 2026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Qnity scheduled its 2Q26 release</w:t>
      </w:r>
      <w:r>
        <w:t xml:space="preserve"> </w:t>
      </w:r>
      <w:r>
        <w:rPr>
          <w:b/>
          <w:bCs/>
        </w:rPr>
        <w:t xml:space="preserve">before the market open on Tuesday, August 4</w:t>
      </w:r>
      <w:r>
        <w:t xml:space="preserve">, followed by an</w:t>
      </w:r>
      <w:r>
        <w:t xml:space="preserve"> </w:t>
      </w:r>
      <w:r>
        <w:rPr>
          <w:b/>
          <w:bCs/>
        </w:rPr>
        <w:t xml:space="preserve">8:00 a.m. ET</w:t>
      </w:r>
      <w:r>
        <w:t xml:space="preserve"> </w:t>
      </w:r>
      <w:r>
        <w:t xml:space="preserve">conference call. This preview uses the information available ahead of the reported quarter.</w:t>
      </w:r>
    </w:p>
    <w:bookmarkStart w:id="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Q enters 2Q with a strong fundamental setup but a higher bar than the share-price performance may suggest. Management’s 1Q commentary pointed to another sequentially growing quarter, driven almost entirely by</w:t>
      </w:r>
      <w:r>
        <w:t xml:space="preserve"> </w:t>
      </w:r>
      <w:r>
        <w:rPr>
          <w:b/>
          <w:bCs/>
        </w:rPr>
        <w:t xml:space="preserve">Interconnect Solutions (ICS)</w:t>
      </w:r>
      <w:r>
        <w:t xml:space="preserve">—advanced packaging, AI PCB and thermal-management materials—while</w:t>
      </w:r>
      <w:r>
        <w:t xml:space="preserve"> </w:t>
      </w:r>
      <w:r>
        <w:rPr>
          <w:b/>
          <w:bCs/>
        </w:rPr>
        <w:t xml:space="preserve">Semiconductor Technologies</w:t>
      </w:r>
      <w:r>
        <w:t xml:space="preserve"> </w:t>
      </w:r>
      <w:r>
        <w:t xml:space="preserve">was expected to remain roughly flat sequentially.</w:t>
      </w:r>
    </w:p>
    <w:p>
      <w:pPr>
        <w:pStyle w:val="BodyText"/>
      </w:pPr>
      <w:r>
        <w:t xml:space="preserve">The key investor question is not simply whether Q beats its own implied 2Q revenue setup. It is whether the company can demonstrate that:</w:t>
      </w:r>
    </w:p>
    <w:p>
      <w:pPr>
        <w:pStyle w:val="Compact"/>
        <w:numPr>
          <w:ilvl w:val="0"/>
          <w:numId w:val="1001"/>
        </w:numPr>
      </w:pPr>
      <w:r>
        <w:t xml:space="preserve">AI-linked growth in ICS remains durable rather than merely seasonal;</w:t>
      </w:r>
    </w:p>
    <w:p>
      <w:pPr>
        <w:pStyle w:val="Compact"/>
        <w:numPr>
          <w:ilvl w:val="0"/>
          <w:numId w:val="1001"/>
        </w:numPr>
      </w:pPr>
      <w:r>
        <w:t xml:space="preserve">Semiconductor Technologies can resume growth after a flat 2Q guide;</w:t>
      </w:r>
    </w:p>
    <w:p>
      <w:pPr>
        <w:pStyle w:val="Compact"/>
        <w:numPr>
          <w:ilvl w:val="0"/>
          <w:numId w:val="1001"/>
        </w:numPr>
      </w:pPr>
      <w:r>
        <w:t xml:space="preserve">margins remain resilient despite incremental hiring, capacity investment, and input/logistics costs; and</w:t>
      </w:r>
    </w:p>
    <w:p>
      <w:pPr>
        <w:pStyle w:val="Compact"/>
        <w:numPr>
          <w:ilvl w:val="0"/>
          <w:numId w:val="1001"/>
        </w:numPr>
      </w:pPr>
      <w:r>
        <w:t xml:space="preserve">full-year guidance still has upside after Q raised it substantially following 1Q.</w:t>
      </w:r>
    </w:p>
    <w:bookmarkEnd w:id="9"/>
    <w:bookmarkStart w:id="10" w:name="X3d8f8b6510590c39f2a05a1d76a19653702c30a"/>
    <w:p>
      <w:pPr>
        <w:pStyle w:val="Heading2"/>
      </w:pPr>
      <w:r>
        <w:t xml:space="preserve">What management effectively guided for in 2Q</w:t>
      </w:r>
    </w:p>
    <w:p>
      <w:pPr>
        <w:pStyle w:val="FirstParagraph"/>
      </w:pPr>
      <w:r>
        <w:t xml:space="preserve">Q’s 1Q result was very strong: revenue of</w:t>
      </w:r>
      <w:r>
        <w:t xml:space="preserve"> </w:t>
      </w:r>
      <m:oMath>
        <m:r>
          <m:t>1.315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18</m:t>
        </m:r>
      </m:oMath>
      <w:r>
        <w:rPr>
          <w:b/>
          <w:bCs/>
        </w:rPr>
        <w:t xml:space="preserve">411 million</w:t>
      </w:r>
      <w:r>
        <w:t xml:space="preserve"> </w:t>
      </w:r>
      <w:r>
        <w:t xml:space="preserve">(31.3% margin), and adjusted EPS of</w:t>
      </w:r>
      <w:r>
        <w:t xml:space="preserve"> </w:t>
      </w:r>
      <w:r>
        <w:rPr>
          <w:b/>
          <w:bCs/>
        </w:rPr>
        <w:t xml:space="preserve">$1.08</w:t>
      </w:r>
      <w:r>
        <w:t xml:space="preserve">.</w:t>
      </w:r>
    </w:p>
    <w:p>
      <w:pPr>
        <w:pStyle w:val="BodyText"/>
      </w:pPr>
      <w:r>
        <w:t xml:space="preserve">For 2Q, management indicated: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actual</w:t>
            </w:r>
          </w:p>
        </w:tc>
        <w:tc>
          <w:tcPr/>
          <w:p>
            <w:pPr>
              <w:pStyle w:val="Compact"/>
            </w:pPr>
            <w:r>
              <w:t xml:space="preserve">2Q management setup</w:t>
            </w:r>
          </w:p>
        </w:tc>
        <w:tc>
          <w:tcPr/>
          <w:p>
            <w:pPr>
              <w:pStyle w:val="Compact"/>
            </w:pPr>
            <w:r>
              <w:t xml:space="preserve">Investor implication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sales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$1.315B</w:t>
            </w:r>
          </w:p>
        </w:tc>
        <w:tc>
          <w:tcPr/>
          <w:p>
            <w:pPr>
              <w:pStyle w:val="Compact"/>
            </w:pPr>
            <w:r>
              <w:t xml:space="preserve">Mid-single-digit sequential growth</w:t>
            </w:r>
          </w:p>
        </w:tc>
        <w:tc>
          <w:tcPr/>
          <w:p>
            <w:pPr>
              <w:pStyle w:val="Compact"/>
            </w:pPr>
            <w:r>
              <w:t xml:space="preserve">Roughly</w:t>
            </w:r>
            <w:r>
              <w:t xml:space="preserve"> </w:t>
            </w:r>
            <m:oMath>
              <m:r>
                <m:t>1.36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1.38B</w:t>
            </w:r>
            <w:r>
              <w:t xml:space="preserve"> </w:t>
            </w:r>
            <w:r>
              <w:t xml:space="preserve">is the broad management-implied range.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Semiconductor Technologies sales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$722M</w:t>
            </w:r>
          </w:p>
        </w:tc>
        <w:tc>
          <w:tcPr/>
          <w:p>
            <w:pPr>
              <w:pStyle w:val="Compact"/>
            </w:pPr>
            <w:r>
              <w:t xml:space="preserve">Roughly flat sequentially</w:t>
            </w:r>
          </w:p>
        </w:tc>
        <w:tc>
          <w:tcPr/>
          <w:p>
            <w:pPr>
              <w:pStyle w:val="Compact"/>
            </w:pPr>
            <w:r>
              <w:t xml:space="preserve">A stable quarter would be consistent with guidance; upside would signal better advanced-node, HBM, memory, or mature-node demand.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Interconnect Solutions sales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$593M</w:t>
            </w:r>
          </w:p>
        </w:tc>
        <w:tc>
          <w:tcPr/>
          <w:p>
            <w:pPr>
              <w:pStyle w:val="Compact"/>
            </w:pPr>
            <w:r>
              <w:t xml:space="preserve">High-single-digit sequential growth</w:t>
            </w:r>
          </w:p>
        </w:tc>
        <w:tc>
          <w:tcPr/>
          <w:p>
            <w:pPr>
              <w:pStyle w:val="Compact"/>
            </w:pPr>
            <w:r>
              <w:t xml:space="preserve">Implies roughly</w:t>
            </w:r>
            <w:r>
              <w:t xml:space="preserve"> </w:t>
            </w:r>
            <w:r>
              <w:rPr>
                <w:b/>
                <w:bCs/>
              </w:rPr>
              <w:t xml:space="preserve">$640M+</w:t>
            </w:r>
            <w:r>
              <w:t xml:space="preserve">; this segment is the principal source of the quarter’s growth.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Semiconductor Technologies EBITDA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36.4% in 1Q</w:t>
            </w:r>
          </w:p>
        </w:tc>
        <w:tc>
          <w:tcPr/>
          <w:p>
            <w:pPr>
              <w:pStyle w:val="Compact"/>
            </w:pPr>
            <w:r>
              <w:t xml:space="preserve">Mid-30% range</w:t>
            </w:r>
          </w:p>
        </w:tc>
        <w:tc>
          <w:tcPr/>
          <w:p>
            <w:pPr>
              <w:pStyle w:val="Compact"/>
            </w:pPr>
            <w:r>
              <w:t xml:space="preserve">Sustained execution despite ongoing R&amp;D and capacity investments is the test.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ICS EBITDA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28.5% in 1Q</w:t>
            </w:r>
          </w:p>
        </w:tc>
        <w:tc>
          <w:tcPr/>
          <w:p>
            <w:pPr>
              <w:pStyle w:val="Compact"/>
            </w:pPr>
            <w:r>
              <w:t xml:space="preserve">Mid- to high-20% range</w:t>
            </w:r>
          </w:p>
        </w:tc>
        <w:tc>
          <w:tcPr/>
          <w:p>
            <w:pPr>
              <w:pStyle w:val="Compact"/>
            </w:pPr>
            <w:r>
              <w:t xml:space="preserve">Seasonal consumer mix and growth investments could temper incremental margin expansion.</w:t>
            </w:r>
          </w:p>
        </w:tc>
      </w:tr>
    </w:tbl>
    <w:p>
      <w:pPr>
        <w:pStyle w:val="BodyText"/>
      </w:pPr>
      <w:r>
        <w:t xml:space="preserve">A simple application of “flat” Semiconductor Technologies revenue and 8% growth in ICS revenue produces approximately</w:t>
      </w:r>
      <w:r>
        <w:t xml:space="preserve"> </w:t>
      </w:r>
      <w:r>
        <w:rPr>
          <w:b/>
          <w:bCs/>
        </w:rPr>
        <w:t xml:space="preserve">$1.362 billion</w:t>
      </w:r>
      <w:r>
        <w:t xml:space="preserve"> </w:t>
      </w:r>
      <w:r>
        <w:t xml:space="preserve">of total sales—useful as a floor-level framing for the company’s implied setup.</w:t>
      </w:r>
    </w:p>
    <w:bookmarkEnd w:id="10"/>
    <w:bookmarkStart w:id="11" w:name="X5d0e80154005eb167befb61025aed2fa2f9c050"/>
    <w:p>
      <w:pPr>
        <w:pStyle w:val="Heading2"/>
      </w:pPr>
      <w:r>
        <w:t xml:space="preserve">The core bull case: AI content, not just semiconductor-cycle recovery</w:t>
      </w:r>
    </w:p>
    <w:p>
      <w:pPr>
        <w:pStyle w:val="FirstParagraph"/>
      </w:pPr>
      <w:r>
        <w:t xml:space="preserve">The investment thesis is increasingly centered on Q’s exposure to the shift from conventional chip scaling toward more complex systems: advanced logic, HBM, advanced packaging, high-layer-count AI PCBs, and thermal management.</w:t>
      </w:r>
    </w:p>
    <w:p>
      <w:pPr>
        <w:pStyle w:val="BodyText"/>
      </w:pPr>
      <w:r>
        <w:t xml:space="preserve">In 1Q: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Semiconductor Technologies</w:t>
      </w:r>
      <w:r>
        <w:t xml:space="preserve"> </w:t>
      </w:r>
      <w:r>
        <w:t xml:space="preserve">grew 12% organically, led by advanced logic and HBM.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ICS</w:t>
      </w:r>
      <w:r>
        <w:t xml:space="preserve"> </w:t>
      </w:r>
      <w:r>
        <w:t xml:space="preserve">grew 22% organically; advanced packaging, thermal management, and AI PCB collectively grew</w:t>
      </w:r>
      <w:r>
        <w:t xml:space="preserve"> </w:t>
      </w:r>
      <w:r>
        <w:rPr>
          <w:b/>
          <w:bCs/>
        </w:rPr>
        <w:t xml:space="preserve">more than 50% year over year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Management described these three ICS categories as the fastest-growing and highest-value portions of the portfolio.</w:t>
      </w:r>
    </w:p>
    <w:p>
      <w:pPr>
        <w:pStyle w:val="Compact"/>
        <w:numPr>
          <w:ilvl w:val="0"/>
          <w:numId w:val="1002"/>
        </w:numPr>
      </w:pPr>
      <w:r>
        <w:t xml:space="preserve">Q indicated that data-center exposure was approaching roughly</w:t>
      </w:r>
      <w:r>
        <w:t xml:space="preserve"> </w:t>
      </w:r>
      <w:r>
        <w:rPr>
          <w:b/>
          <w:bCs/>
        </w:rPr>
        <w:t xml:space="preserve">20% of the portfolio</w:t>
      </w:r>
      <w:r>
        <w:t xml:space="preserve">, up from approximately 15% a year earlier.</w:t>
      </w:r>
    </w:p>
    <w:p>
      <w:pPr>
        <w:pStyle w:val="FirstParagraph"/>
      </w:pPr>
      <w:r>
        <w:t xml:space="preserve">For 2Q, investors should look for proof that the same drivers held through June—notably continued customer ramps in advanced packaging and AI infrastructure, plus demand tied to 2-nanometer transitions and HBM4.</w:t>
      </w:r>
    </w:p>
    <w:bookmarkEnd w:id="11"/>
    <w:bookmarkStart w:id="16" w:name="what-could-produce-upside"/>
    <w:p>
      <w:pPr>
        <w:pStyle w:val="Heading2"/>
      </w:pPr>
      <w:r>
        <w:t xml:space="preserve">What could produce upside</w:t>
      </w:r>
    </w:p>
    <w:bookmarkStart w:id="12" w:name="X508d858209e4330d3b0f4ea540b7214cf0fa659"/>
    <w:p>
      <w:pPr>
        <w:pStyle w:val="Heading3"/>
      </w:pPr>
      <w:r>
        <w:t xml:space="preserve">1. ICS exceeds the high-single-digit sequential growth guide</w:t>
      </w:r>
    </w:p>
    <w:p>
      <w:pPr>
        <w:pStyle w:val="FirstParagraph"/>
      </w:pPr>
      <w:r>
        <w:t xml:space="preserve">This is the most important operating variable. The segment has been benefiting from relatively shorter-cycle process-of-record wins, which can ramp faster than the semiconductor-materials business. A meaningful beat in ICS would support the view that AI infrastructure demand is broadening rather than concentrated in a few programs.</w:t>
      </w:r>
    </w:p>
    <w:bookmarkEnd w:id="12"/>
    <w:bookmarkStart w:id="13" w:name="X9739177cf74d1883a585eb3da38476a3977fa74"/>
    <w:p>
      <w:pPr>
        <w:pStyle w:val="Heading3"/>
      </w:pPr>
      <w:r>
        <w:t xml:space="preserve">2. Semiconductor Technologies grows despite the “flat” guide</w:t>
      </w:r>
    </w:p>
    <w:p>
      <w:pPr>
        <w:pStyle w:val="FirstParagraph"/>
      </w:pPr>
      <w:r>
        <w:t xml:space="preserve">Management had expected the segment to be roughly flat sequentially after a 1Q quarter that included about</w:t>
      </w:r>
      <w:r>
        <w:t xml:space="preserve"> </w:t>
      </w:r>
      <w:r>
        <w:rPr>
          <w:b/>
          <w:bCs/>
        </w:rPr>
        <w:t xml:space="preserve">$20 million</w:t>
      </w:r>
      <w:r>
        <w:t xml:space="preserve"> </w:t>
      </w:r>
      <w:r>
        <w:t xml:space="preserve">of mature-node inventory restocking. A better-than-flat result would be especially constructive if it comes from advanced logic, HBM, NAND recovery, or stronger utilization at mainstream foundries.</w:t>
      </w:r>
    </w:p>
    <w:bookmarkEnd w:id="13"/>
    <w:bookmarkStart w:id="14" w:name="X6f62dd280165e8317d86fd83bfa28e03d3407c4"/>
    <w:p>
      <w:pPr>
        <w:pStyle w:val="Heading3"/>
      </w:pPr>
      <w:r>
        <w:t xml:space="preserve">3. EBITDA margin remains around 31%</w:t>
      </w:r>
    </w:p>
    <w:p>
      <w:pPr>
        <w:pStyle w:val="FirstParagraph"/>
      </w:pPr>
      <w:r>
        <w:t xml:space="preserve">Q delivered a 31.3% adjusted EBITDA margin in 1Q, aided by volume leverage and mix. The company flagged modest raw-material, energy, and logistics inflation, as well as additional hiring to support customer ramps. Holding consolidated margins near the 1Q level while investing for growth would be a favorable outcome.</w:t>
      </w:r>
    </w:p>
    <w:bookmarkEnd w:id="14"/>
    <w:bookmarkStart w:id="15" w:name="Xfaa154ed84aaa8d1b30ecca69d92953a548dcb2"/>
    <w:p>
      <w:pPr>
        <w:pStyle w:val="Heading3"/>
      </w:pPr>
      <w:r>
        <w:t xml:space="preserve">4. Full-year guidance rises again—or management signals room for upside</w:t>
      </w:r>
    </w:p>
    <w:p>
      <w:pPr>
        <w:pStyle w:val="FirstParagraph"/>
      </w:pPr>
      <w:r>
        <w:t xml:space="preserve">Following 1Q, Q raised full-year 2026 guidance to: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Revenue:</w:t>
      </w:r>
      <w:r>
        <w:t xml:space="preserve"> </w:t>
      </w:r>
      <m:oMath>
        <m:r>
          <m:t>5.225</m:t>
        </m:r>
        <m:r>
          <m:t>B</m:t>
        </m:r>
        <m:r>
          <m:rPr>
            <m:sty m:val="p"/>
          </m:rPr>
          <m:t>–</m:t>
        </m:r>
      </m:oMath>
      <w:r>
        <w:t xml:space="preserve">5.375B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Adjusted operating EBITDA:</w:t>
      </w:r>
      <w:r>
        <w:t xml:space="preserve"> </w:t>
      </w:r>
      <m:oMath>
        <m:r>
          <m:t>1.535</m:t>
        </m:r>
        <m:r>
          <m:t>B</m:t>
        </m:r>
        <m:r>
          <m:rPr>
            <m:sty m:val="p"/>
          </m:rPr>
          <m:t>–</m:t>
        </m:r>
      </m:oMath>
      <w:r>
        <w:t xml:space="preserve">1.625B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Adjusted EPS:</w:t>
      </w:r>
      <w:r>
        <w:t xml:space="preserve"> </w:t>
      </w:r>
      <m:oMath>
        <m:r>
          <m:t>3.80</m:t>
        </m:r>
        <m:r>
          <m:rPr>
            <m:sty m:val="p"/>
          </m:rPr>
          <m:t>–</m:t>
        </m:r>
      </m:oMath>
      <w:r>
        <w:t xml:space="preserve">4.14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Adjusted free cash flow:</w:t>
      </w:r>
      <w:r>
        <w:t xml:space="preserve"> </w:t>
      </w:r>
      <m:oMath>
        <m:r>
          <m:t>500</m:t>
        </m:r>
        <m:r>
          <m:t>M</m:t>
        </m:r>
        <m:r>
          <m:rPr>
            <m:sty m:val="p"/>
          </m:rPr>
          <m:t>–</m:t>
        </m:r>
      </m:oMath>
      <w:r>
        <w:t xml:space="preserve">600M</w:t>
      </w:r>
    </w:p>
    <w:p>
      <w:pPr>
        <w:pStyle w:val="FirstParagraph"/>
      </w:pPr>
      <w:r>
        <w:t xml:space="preserve">The raised outlook already assumes double-digit annual sales and EBITDA growth. Therefore, merely reiterating the guide may be viewed as solid but not necessarily a catalyst; a raise, or clear commentary that demand trends are outperforming the assumptions behind it, would matter more.</w:t>
      </w:r>
    </w:p>
    <w:bookmarkEnd w:id="15"/>
    <w:bookmarkEnd w:id="16"/>
    <w:bookmarkStart w:id="21" w:name="what-could-disappoint"/>
    <w:p>
      <w:pPr>
        <w:pStyle w:val="Heading2"/>
      </w:pPr>
      <w:r>
        <w:t xml:space="preserve">What could disappoint</w:t>
      </w:r>
    </w:p>
    <w:bookmarkStart w:id="17" w:name="growth-deceleration-in-ics"/>
    <w:p>
      <w:pPr>
        <w:pStyle w:val="Heading3"/>
      </w:pPr>
      <w:r>
        <w:t xml:space="preserve">Growth deceleration in ICS</w:t>
      </w:r>
    </w:p>
    <w:p>
      <w:pPr>
        <w:pStyle w:val="FirstParagraph"/>
      </w:pPr>
      <w:r>
        <w:t xml:space="preserve">The largest risk to the near-term narrative is that the exceptional first-quarter ICS performance was partly timing- or ramp-related. A deceleration below high-single-digit sequential growth, softer commentary on AI PCB or thermal demand, or increased customer inventory would challenge the premium-growth framing.</w:t>
      </w:r>
    </w:p>
    <w:bookmarkEnd w:id="17"/>
    <w:bookmarkStart w:id="18" w:name="margin-pressure-from-mix-and-investment"/>
    <w:p>
      <w:pPr>
        <w:pStyle w:val="Heading3"/>
      </w:pPr>
      <w:r>
        <w:t xml:space="preserve">Margin pressure from mix and investment</w:t>
      </w:r>
    </w:p>
    <w:p>
      <w:pPr>
        <w:pStyle w:val="FirstParagraph"/>
      </w:pPr>
      <w:r>
        <w:t xml:space="preserve">Management anticipated a normal seasonal mix shift toward consumer electronics within ICS and disclosed ongoing hiring and capacity investments. Investors should watch for margin pressure beyond the guided mid- to high-20% ICS range, particularly if it is not offset by Semiconductor Technologies performance.</w:t>
      </w:r>
    </w:p>
    <w:bookmarkEnd w:id="18"/>
    <w:bookmarkStart w:id="19" w:name="Xac41516fa84174dec65e1199d8d11e298ae043b"/>
    <w:p>
      <w:pPr>
        <w:pStyle w:val="Heading3"/>
      </w:pPr>
      <w:r>
        <w:t xml:space="preserve">Full-year guide has limited incremental upside</w:t>
      </w:r>
    </w:p>
    <w:p>
      <w:pPr>
        <w:pStyle w:val="FirstParagraph"/>
      </w:pPr>
      <w:r>
        <w:t xml:space="preserve">At the midpoint, the full-year revenue guide is $5.30 billion. With 1Q already at $1.315 billion and 2Q expected around $1.36 billion or better, the implied second-half revenue cadence is relatively measured. That gives Q room to outperform, but it also means investors will scrutinize whether management remains conservative or is seeing a genuine moderation in demand.</w:t>
      </w:r>
    </w:p>
    <w:bookmarkEnd w:id="19"/>
    <w:bookmarkStart w:id="20" w:name="X6e8a38312c9a8cec339fcda05ec738e2854ac21"/>
    <w:p>
      <w:pPr>
        <w:pStyle w:val="Heading3"/>
      </w:pPr>
      <w:r>
        <w:t xml:space="preserve">Free-cash-flow conversion and capital intensity</w:t>
      </w:r>
    </w:p>
    <w:p>
      <w:pPr>
        <w:pStyle w:val="FirstParagraph"/>
      </w:pPr>
      <w:r>
        <w:t xml:space="preserve">Q generated only</w:t>
      </w:r>
      <w:r>
        <w:t xml:space="preserve"> </w:t>
      </w:r>
      <m:oMath>
        <m:r>
          <m:t>28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f</m:t>
        </m:r>
        <m:r>
          <m:t>r</m:t>
        </m:r>
        <m:r>
          <m:t>e</m:t>
        </m:r>
        <m:r>
          <m:t>e</m:t>
        </m:r>
        <m:r>
          <m:t>c</m:t>
        </m:r>
        <m:r>
          <m:t>a</m:t>
        </m:r>
        <m:r>
          <m:t>s</m:t>
        </m:r>
        <m:r>
          <m:t>h</m:t>
        </m:r>
        <m:r>
          <m:t>f</m:t>
        </m:r>
        <m:r>
          <m:t>l</m:t>
        </m:r>
        <m:r>
          <m:t>o</m:t>
        </m:r>
        <m:r>
          <m:t>w</m:t>
        </m:r>
        <m:r>
          <m:t>i</m:t>
        </m:r>
        <m:r>
          <m:t>n</m:t>
        </m:r>
        <m:r>
          <m:t>1</m:t>
        </m:r>
        <m:r>
          <m:t>Q</m:t>
        </m:r>
        <m:r>
          <m:rPr>
            <m:sty m:val="p"/>
          </m:rPr>
          <m:t>,</m:t>
        </m:r>
        <m:r>
          <m:t>a</m:t>
        </m:r>
        <m:r>
          <m:t>f</m:t>
        </m:r>
        <m:r>
          <m:t>t</m:t>
        </m:r>
        <m:r>
          <m:t>e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122 million</w:t>
      </w:r>
      <w:r>
        <w:t xml:space="preserve"> </w:t>
      </w:r>
      <w:r>
        <w:t xml:space="preserve">of capex, including investment tied to its Taiwan expansion. Full-year capex is expected to be approximately</w:t>
      </w:r>
      <w:r>
        <w:t xml:space="preserve"> </w:t>
      </w:r>
      <w:r>
        <w:rPr>
          <w:b/>
          <w:bCs/>
        </w:rPr>
        <w:t xml:space="preserve">9% of sales</w:t>
      </w:r>
      <w:r>
        <w:t xml:space="preserve">, above the longer-term target of roughly 6%. The growth investments are strategically sensible, but free-cash-flow delivery must improve materially through the remainder of the year to support the</w:t>
      </w:r>
      <w:r>
        <w:t xml:space="preserve"> </w:t>
      </w:r>
      <m:oMath>
        <m:r>
          <m:t>500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600 million full-year target.</w:t>
      </w:r>
    </w:p>
    <w:bookmarkEnd w:id="20"/>
    <w:bookmarkEnd w:id="21"/>
    <w:bookmarkStart w:id="22" w:name="X8e70c235c65d37bf86b35722eb1995727bc3d3f"/>
    <w:p>
      <w:pPr>
        <w:pStyle w:val="Heading2"/>
      </w:pPr>
      <w:r>
        <w:t xml:space="preserve">Balance-sheet and capital-allocation items</w:t>
      </w:r>
    </w:p>
    <w:p>
      <w:pPr>
        <w:pStyle w:val="FirstParagraph"/>
      </w:pPr>
      <w:r>
        <w:t xml:space="preserve">Q ended 1Q with: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$857 million</w:t>
      </w:r>
      <w:r>
        <w:t xml:space="preserve"> </w:t>
      </w:r>
      <w:r>
        <w:t xml:space="preserve">of cash and cash equivalents;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$4.023 billion</w:t>
      </w:r>
      <w:r>
        <w:t xml:space="preserve"> </w:t>
      </w:r>
      <w:r>
        <w:t xml:space="preserve">of total debt; and</w:t>
      </w:r>
    </w:p>
    <w:p>
      <w:pPr>
        <w:pStyle w:val="Compact"/>
        <w:numPr>
          <w:ilvl w:val="0"/>
          <w:numId w:val="1004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2.2x net-debt leverage</w:t>
      </w:r>
      <w:r>
        <w:t xml:space="preserve">.</w:t>
      </w:r>
    </w:p>
    <w:p>
      <w:pPr>
        <w:pStyle w:val="FirstParagraph"/>
      </w:pPr>
      <w:r>
        <w:t xml:space="preserve">The company refinanced/repriced its</w:t>
      </w:r>
      <w:r>
        <w:t xml:space="preserve"> </w:t>
      </w:r>
      <m:oMath>
        <m:r>
          <m:t>2.338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e</m:t>
        </m:r>
        <m:r>
          <m:t>r</m:t>
        </m:r>
        <m:r>
          <m:t>m</m:t>
        </m:r>
        <m:r>
          <m:t>l</m:t>
        </m:r>
        <m:r>
          <m:t>o</m:t>
        </m:r>
        <m:r>
          <m:t>a</m:t>
        </m:r>
        <m:r>
          <m:t>n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1</m:t>
        </m:r>
        <m:r>
          <m:rPr>
            <m:sty m:val="p"/>
          </m:rPr>
          <m:t>,</m:t>
        </m:r>
        <m:r>
          <m:t>r</m:t>
        </m:r>
        <m:r>
          <m:t>e</m:t>
        </m:r>
        <m:r>
          <m:t>d</m:t>
        </m:r>
        <m:r>
          <m:t>u</m:t>
        </m:r>
        <m:r>
          <m:t>c</m:t>
        </m:r>
        <m:r>
          <m:t>i</m:t>
        </m:r>
        <m:r>
          <m:t>n</m:t>
        </m:r>
        <m:r>
          <m:t>g</m:t>
        </m:r>
        <m:r>
          <m:t>t</m:t>
        </m:r>
        <m:r>
          <m:t>h</m:t>
        </m:r>
        <m:r>
          <m:t>e</m:t>
        </m:r>
        <m:r>
          <m:t>s</m:t>
        </m:r>
        <m:r>
          <m:t>p</m:t>
        </m:r>
        <m:r>
          <m:t>r</m:t>
        </m:r>
        <m:r>
          <m:t>e</m:t>
        </m:r>
        <m:r>
          <m:t>a</m:t>
        </m:r>
        <m:r>
          <m:t>d</m:t>
        </m:r>
        <m:r>
          <m:t>b</m:t>
        </m:r>
        <m:r>
          <m:t>y</m:t>
        </m:r>
        <m:r>
          <m:t>25</m:t>
        </m:r>
        <m:r>
          <m:t>b</m:t>
        </m:r>
        <m:r>
          <m:t>a</m:t>
        </m:r>
        <m:r>
          <m:t>s</m:t>
        </m:r>
        <m:r>
          <m:t>i</m:t>
        </m:r>
        <m:r>
          <m:t>s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t>s</m:t>
        </m:r>
        <m:r>
          <m:rPr>
            <m:sty m:val="p"/>
          </m:rPr>
          <m:t>.</m:t>
        </m:r>
        <m:r>
          <m:t>T</m:t>
        </m:r>
        <m:r>
          <m:t>h</m:t>
        </m:r>
        <m:r>
          <m:t>a</m:t>
        </m:r>
        <m:r>
          <m:t>t</m:t>
        </m:r>
        <m:r>
          <m:t>r</m:t>
        </m:r>
        <m:r>
          <m:t>e</m:t>
        </m:r>
        <m:r>
          <m:t>p</m:t>
        </m:r>
        <m:r>
          <m:t>r</m:t>
        </m:r>
        <m:r>
          <m:t>e</m:t>
        </m:r>
        <m:r>
          <m:t>s</m:t>
        </m:r>
        <m:r>
          <m:t>e</m:t>
        </m:r>
        <m:r>
          <m:t>n</m:t>
        </m:r>
        <m:r>
          <m:t>t</m:t>
        </m:r>
        <m:r>
          <m:t>s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5.8 million of annualized pre-tax interest savings</w:t>
      </w:r>
      <w:r>
        <w:t xml:space="preserve">, but it occurred after the June-quarter end, so it should be more relevant to 3Q and forward guidance than to reported 2Q results.</w:t>
      </w:r>
    </w:p>
    <w:p>
      <w:pPr>
        <w:pStyle w:val="BodyText"/>
      </w:pPr>
      <w:r>
        <w:t xml:space="preserve">Capital returns remain modest relative to cash generation: Q repurchased $25 million of shares in 1Q under its $500 million authorization and pays an $0.08 quarterly dividend.</w:t>
      </w:r>
    </w:p>
    <w:bookmarkEnd w:id="22"/>
    <w:bookmarkStart w:id="23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Q closed at</w:t>
      </w:r>
      <w:r>
        <w:t xml:space="preserve"> </w:t>
      </w:r>
      <m:oMath>
        <m:r>
          <m:t>133.33</m:t>
        </m:r>
        <m:r>
          <m:t>o</m:t>
        </m:r>
        <m:r>
          <m:t>n</m:t>
        </m:r>
        <m:r>
          <m:t>A</m:t>
        </m:r>
        <m:r>
          <m:t>u</m:t>
        </m:r>
        <m:r>
          <m:t>g</m:t>
        </m:r>
        <m:r>
          <m:t>u</m:t>
        </m:r>
        <m:r>
          <m:t>s</m:t>
        </m:r>
        <m:r>
          <m:t>t</m:t>
        </m:r>
        <m:r>
          <m:t>3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v</m:t>
        </m:r>
        <m:r>
          <m:t>e</m:t>
        </m:r>
        <m:r>
          <m:t>r</m:t>
        </m:r>
        <m:r>
          <m:t>s</m:t>
        </m:r>
        <m:r>
          <m:t>u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168.36 on May 12</w:t>
      </w:r>
      <w:r>
        <w:t xml:space="preserve">, the date of its 1Q earnings release—a decline of approximately</w:t>
      </w:r>
      <w:r>
        <w:t xml:space="preserve"> </w:t>
      </w:r>
      <w:r>
        <w:rPr>
          <w:b/>
          <w:bCs/>
        </w:rPr>
        <w:t xml:space="preserve">20.8%</w:t>
      </w:r>
      <w:r>
        <w:t xml:space="preserve">. The shares are also down about</w:t>
      </w:r>
      <w:r>
        <w:t xml:space="preserve"> </w:t>
      </w:r>
      <w:r>
        <w:rPr>
          <w:b/>
          <w:bCs/>
        </w:rPr>
        <w:t xml:space="preserve">7.0%</w:t>
      </w:r>
      <w:r>
        <w:t xml:space="preserve"> </w:t>
      </w:r>
      <w:r>
        <w:t xml:space="preserve">from the May 1 close of $143.33.</w:t>
      </w:r>
    </w:p>
    <w:p>
      <w:pPr>
        <w:pStyle w:val="BodyText"/>
      </w:pPr>
      <w:r>
        <w:t xml:space="preserve">That pullback means expectations may be less demanding than immediately after the strong 1Q release, but the operating bar remains meaningful because Q’s prior report combined a substantial beat, raised guidance, and a compelling AI-materials narrative. The market is likely to reward evidence that the AI/advanced-packaging growth engine is intact and that margin and cash-flow execution can keep up.</w:t>
      </w:r>
    </w:p>
    <w:bookmarkEnd w:id="23"/>
    <w:bookmarkStart w:id="24" w:name="questions-for-the-call"/>
    <w:p>
      <w:pPr>
        <w:pStyle w:val="Heading2"/>
      </w:pPr>
      <w:r>
        <w:t xml:space="preserve">Questions for the call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ICS durability:</w:t>
      </w:r>
      <w:r>
        <w:t xml:space="preserve"> </w:t>
      </w:r>
      <w:r>
        <w:t xml:space="preserve">Are advanced packaging, AI PCB, and thermal-management growth rates still running materially above the broader electronics market?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Advanced-node activity:</w:t>
      </w:r>
      <w:r>
        <w:t xml:space="preserve"> </w:t>
      </w:r>
      <w:r>
        <w:t xml:space="preserve">What is the current contribution from 3nm and emerging 2nm activity, and what is the timing of meaningful HBM4-related demand?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Semiconductor Technologies:</w:t>
      </w:r>
      <w:r>
        <w:t xml:space="preserve"> </w:t>
      </w:r>
      <w:r>
        <w:t xml:space="preserve">Did mature-node restocking reverse in 2Q, and what is the current trend in memory, NAND, and mainstream logic utilization?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Margins:</w:t>
      </w:r>
      <w:r>
        <w:t xml:space="preserve"> </w:t>
      </w:r>
      <w:r>
        <w:t xml:space="preserve">How much of 2Q margin performance reflects volume/mix versus temporary benefits, and what are the incremental costs from hiring and ramp support?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Pricing and inflation:</w:t>
      </w:r>
      <w:r>
        <w:t xml:space="preserve"> </w:t>
      </w:r>
      <w:r>
        <w:t xml:space="preserve">Are targeted price actions fully offsetting raw-material, energy, and logistics costs?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Capacity:</w:t>
      </w:r>
      <w:r>
        <w:t xml:space="preserve"> </w:t>
      </w:r>
      <w:r>
        <w:t xml:space="preserve">Is Delaware qualification proceeding on schedule, and is the Taiwan facility still expected to be fully operational in early 2027?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Cash flow:</w:t>
      </w:r>
      <w:r>
        <w:t xml:space="preserve"> </w:t>
      </w:r>
      <w:r>
        <w:t xml:space="preserve">What working-capital and capex cadence should investors expect for the second half?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Leadership:</w:t>
      </w:r>
      <w:r>
        <w:t xml:space="preserve"> </w:t>
      </w:r>
      <w:r>
        <w:t xml:space="preserve">Is there an update on the permanent CFO and Semiconductor Technologies leadership searches?</w:t>
      </w:r>
    </w:p>
    <w:bookmarkEnd w:id="24"/>
    <w:bookmarkStart w:id="25" w:name="earnings-verdict"/>
    <w:p>
      <w:pPr>
        <w:pStyle w:val="Heading2"/>
      </w:pPr>
      <w:r>
        <w:t xml:space="preserve">Earnings verdict</w:t>
      </w:r>
    </w:p>
    <w:p>
      <w:pPr>
        <w:pStyle w:val="FirstParagraph"/>
      </w:pPr>
      <w:r>
        <w:rPr>
          <w:b/>
          <w:bCs/>
        </w:rPr>
        <w:t xml:space="preserve">Constructive, with the focus on quality of growth rather than the headline print.</w:t>
      </w:r>
      <w:r>
        <w:t xml:space="preserve"> </w:t>
      </w:r>
      <w:r>
        <w:t xml:space="preserve">Q’s 2Q setup favors another solid quarter, with ICS expected to carry the growth burden. The most bullish outcome is an ICS-led beat, resilient consolidated margins, sustained strength in advanced-node/HBM demand, and a further lift—or clearly positive bias—to full-year guidance.</w:t>
      </w:r>
    </w:p>
    <w:p>
      <w:pPr>
        <w:pStyle w:val="BodyText"/>
      </w:pPr>
      <w:r>
        <w:t xml:space="preserve">The less favorable outcome would be a guide-consistent but unremarkable quarter in which Semiconductor Technologies is flat, ICS growth normalizes, margins fade on seasonal mix and investment, and full-year guidance is merely reiterated without stronger second-half confidence.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2026-08-04T00:16:40Z</dcterms:created>
  <dcterms:modified xsi:type="dcterms:W3CDTF">2026-08-04T00:16:40Z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