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Qnity Electronics (NYSE: Q)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Qnity Electronics, Inc.</w:t>
            </w:r>
          </w:p>
        </w:tc>
        <w:tc>
          <w:tcPr>
            <w:tcW w:type="dxa" w:w="2160"/>
          </w:tcPr>
          <w:p>
            <w:r>
              <w:rPr>
                <w:rFonts w:ascii="Calibri" w:hAnsi="Calibri"/>
                <w:b/>
                <w:sz w:val="22"/>
              </w:rPr>
              <w:t>Ticker</w:t>
            </w:r>
          </w:p>
        </w:tc>
        <w:tc>
          <w:tcPr>
            <w:tcW w:type="dxa" w:w="2160"/>
          </w:tcPr>
          <w:p>
            <w:r>
              <w:rPr>
                <w:rFonts w:ascii="Calibri" w:hAnsi="Calibri"/>
                <w:sz w:val="22"/>
              </w:rPr>
              <w:t>NYSE: Q</w:t>
            </w:r>
          </w:p>
        </w:tc>
      </w:tr>
      <w:tr>
        <w:tc>
          <w:tcPr>
            <w:tcW w:type="dxa" w:w="2160"/>
          </w:tcPr>
          <w:p>
            <w:r>
              <w:rPr>
                <w:rFonts w:ascii="Calibri" w:hAnsi="Calibri"/>
                <w:b/>
                <w:sz w:val="22"/>
              </w:rPr>
              <w:t>Earnings Date</w:t>
            </w:r>
          </w:p>
        </w:tc>
        <w:tc>
          <w:tcPr>
            <w:tcW w:type="dxa" w:w="2160"/>
          </w:tcPr>
          <w:p>
            <w:r>
              <w:rPr>
                <w:rFonts w:ascii="Calibri" w:hAnsi="Calibri"/>
                <w:sz w:val="22"/>
              </w:rPr>
              <w:t>August 4, 2026 (BMO)</w:t>
            </w:r>
          </w:p>
        </w:tc>
        <w:tc>
          <w:tcPr>
            <w:tcW w:type="dxa" w:w="2160"/>
          </w:tcPr>
          <w:p>
            <w:r>
              <w:rPr>
                <w:rFonts w:ascii="Calibri" w:hAnsi="Calibri"/>
                <w:b/>
                <w:sz w:val="22"/>
              </w:rPr>
              <w:t>Prepared</w:t>
            </w:r>
          </w:p>
        </w:tc>
        <w:tc>
          <w:tcPr>
            <w:tcW w:type="dxa" w:w="2160"/>
          </w:tcPr>
          <w:p>
            <w:r>
              <w:rPr>
                <w:rFonts w:ascii="Calibri" w:hAnsi="Calibri"/>
                <w:sz w:val="22"/>
              </w:rPr>
              <w:t>August 3, 2026</w:t>
            </w:r>
          </w:p>
        </w:tc>
      </w:tr>
      <w:tr>
        <w:tc>
          <w:tcPr>
            <w:tcW w:type="dxa" w:w="2160"/>
          </w:tcPr>
          <w:p>
            <w:r>
              <w:rPr>
                <w:rFonts w:ascii="Calibri" w:hAnsi="Calibri"/>
                <w:b/>
                <w:sz w:val="22"/>
              </w:rPr>
              <w:t>Reporting Period</w:t>
            </w:r>
          </w:p>
        </w:tc>
        <w:tc>
          <w:tcPr>
            <w:tcW w:type="dxa" w:w="2160"/>
          </w:tcPr>
          <w:p>
            <w:r>
              <w:rPr>
                <w:rFonts w:ascii="Calibri" w:hAnsi="Calibri"/>
                <w:sz w:val="22"/>
              </w:rPr>
              <w:t>Q2 2026 (2QFY-2026, ending June 30, 2026)</w:t>
            </w:r>
          </w:p>
        </w:tc>
        <w:tc>
          <w:tcPr>
            <w:tcW w:type="dxa" w:w="2160"/>
          </w:tcPr>
          <w:p>
            <w:r>
              <w:rPr>
                <w:rFonts w:ascii="Calibri" w:hAnsi="Calibri"/>
                <w:b/>
                <w:sz w:val="22"/>
              </w:rPr>
              <w:t>Last Earnings</w:t>
            </w:r>
          </w:p>
        </w:tc>
        <w:tc>
          <w:tcPr>
            <w:tcW w:type="dxa" w:w="2160"/>
          </w:tcPr>
          <w:p>
            <w:r>
              <w:rPr>
                <w:rFonts w:ascii="Calibri" w:hAnsi="Calibri"/>
                <w:sz w:val="22"/>
              </w:rPr>
              <w:t>May 12,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for Q2 2026 revenue ($1.36B) sits modestly above Q1's $1.315B actual, consistent with management's guided mid-single-digit sequential growth, but the bar is not stretched; the bigger swing factor is whether ICS can sustain its record-margin trajectory and whether Semi restocking tailwinds recur.</w:t>
      </w:r>
    </w:p>
    <w:p>
      <w:r>
        <w:rPr>
          <w:rFonts w:ascii="Calibri" w:hAnsi="Calibri"/>
          <w:color w:val="525866"/>
          <w:sz w:val="22"/>
        </w:rPr>
        <w:t xml:space="preserve">Heading into Q2 2026, the setup for Qnity is constructive but not euphoric. Management guided explicitly for mid-single-digit sequential net sales growth, with ICS in the high-single digits and Semi roughly flat — a bar that consensus has essentially matched, leaving limited room for a guidance-driven re-rating but also little risk of a miss if execution holds. The tone from the Q1 call was notably confident: CEO Jon Kemp cited continued strong order books, positive demand signals, and ongoing node transitions and PoR wins as of early Q2, while interim CFO Mike Goss flagged that the second-half guide embeds a prudent view on inflation, implying potential upside if macro conditions improve. Estimate revisions have been modestly positive since the Q1 beat — FY2026 revenue consensus has moved from ~$5.377B to $5.415B and EPS from ~$4.108 to $4.184 — suggesting the Street has absorbed the raise without fully pricing in further upside. The stock, however, has given back roughly </w:t>
      </w:r>
      <w:r>
        <w:rPr>
          <w:rFonts w:ascii="Calibri" w:hAnsi="Calibri"/>
          <w:b/>
          <w:color w:val="525866"/>
          <w:sz w:val="22"/>
        </w:rPr>
        <w:t>21%</w:t>
      </w:r>
      <w:r>
        <w:rPr>
          <w:rFonts w:ascii="Calibri" w:hAnsi="Calibri"/>
          <w:color w:val="525866"/>
          <w:sz w:val="22"/>
        </w:rPr>
        <w:t xml:space="preserve"> since the Q1 earnings date (May 12 close of $168.36 to ~$133.30 as of August 4), meaningfully underperforming both the S&amp;P 500 (+2.6%) and SOXX (−1.6%), which means the stock is entering the print at a compressed multiple with sentiment reset — a setup that historically favors a positive reaction on any in-line or better result. The key wildcard is the </w:t>
      </w:r>
      <w:r>
        <w:rPr>
          <w:rFonts w:ascii="Calibri" w:hAnsi="Calibri"/>
          <w:b/>
          <w:color w:val="525866"/>
          <w:sz w:val="22"/>
        </w:rPr>
        <w:t>ICS margin trajectory</w:t>
      </w:r>
      <w:r>
        <w:rPr>
          <w:rFonts w:ascii="Calibri" w:hAnsi="Calibri"/>
          <w:color w:val="525866"/>
          <w:sz w:val="22"/>
        </w:rPr>
        <w:t>: Q1 delivered a record 28.5% ICS EBITDA margin (up 280bps sequentially), and management guided for continued progression toward the mid-to-high 20s — if ICS margins hold or expand further in Q2, it would validate the structural step-up thesis and likely drive the stock; if they compress on incremental investment spending, it is the most likely source of disappointment.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for Q2 2026 represents a moderate, achievable bar — mid-single-digit sequential revenue growth in line with guidance. The bigger swing factor is </w:t>
      </w:r>
      <w:r>
        <w:rPr>
          <w:rFonts w:ascii="Calibri" w:hAnsi="Calibri"/>
          <w:b/>
          <w:color w:val="525866"/>
          <w:sz w:val="22"/>
        </w:rPr>
        <w:t>ICS margin</w:t>
      </w:r>
      <w:r>
        <w:rPr>
          <w:rFonts w:ascii="Calibri" w:hAnsi="Calibri"/>
          <w:color w:val="525866"/>
          <w:sz w:val="22"/>
        </w:rPr>
        <w:t xml:space="preserve"> (guided mid-to-high 20s), where any upside vs. the Q1 record 28.5% would be the primary positive catalyst; a miss on EBITDA margin is the key downside risk.</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$1,315</w:t>
            </w:r>
          </w:p>
        </w:tc>
        <w:tc>
          <w:tcPr>
            <w:tcW w:type="dxa" w:w="1234"/>
          </w:tcPr>
          <w:p>
            <w:r>
              <w:rPr>
                <w:rFonts w:ascii="Calibri" w:hAnsi="Calibri"/>
                <w:sz w:val="22"/>
              </w:rPr>
              <w:t>$1,170</w:t>
            </w:r>
          </w:p>
        </w:tc>
        <w:tc>
          <w:tcPr>
            <w:tcW w:type="dxa" w:w="1234"/>
          </w:tcPr>
          <w:p>
            <w:r>
              <w:rPr>
                <w:rFonts w:ascii="Calibri" w:hAnsi="Calibri"/>
                <w:sz w:val="22"/>
              </w:rPr>
              <w:t>$1,364</w:t>
            </w:r>
          </w:p>
        </w:tc>
        <w:tc>
          <w:tcPr>
            <w:tcW w:type="dxa" w:w="1234"/>
          </w:tcPr>
          <w:p>
            <w:r>
              <w:rPr>
                <w:rFonts w:ascii="Calibri" w:hAnsi="Calibri"/>
                <w:sz w:val="22"/>
              </w:rPr>
              <w:t>+16.6%</w:t>
            </w:r>
          </w:p>
        </w:tc>
        <w:tc>
          <w:tcPr>
            <w:tcW w:type="dxa" w:w="1234"/>
          </w:tcPr>
          <w:p>
            <w:r>
              <w:rPr>
                <w:rFonts w:ascii="Calibri" w:hAnsi="Calibri"/>
                <w:sz w:val="22"/>
              </w:rPr>
              <w:t>Mid-single-digit sequential growth from Q1 ($1,315M)</w:t>
            </w:r>
          </w:p>
        </w:tc>
        <w:tc>
          <w:tcPr>
            <w:tcW w:type="dxa" w:w="1234"/>
          </w:tcPr>
          <w:p>
            <w:r>
              <w:rPr>
                <w:rFonts w:ascii="Calibri" w:hAnsi="Calibri"/>
                <w:sz w:val="22"/>
              </w:rPr>
              <w:t>+0.2% vs. midpoint (~$1,356M implied)</w:t>
            </w:r>
          </w:p>
        </w:tc>
      </w:tr>
      <w:tr>
        <w:tc>
          <w:tcPr>
            <w:tcW w:type="dxa" w:w="1234"/>
          </w:tcPr>
          <w:p>
            <w:r>
              <w:rPr>
                <w:rFonts w:ascii="Calibri" w:hAnsi="Calibri"/>
                <w:sz w:val="22"/>
              </w:rPr>
              <w:t>Revenue — Semiconductor ($M)</w:t>
            </w:r>
          </w:p>
        </w:tc>
        <w:tc>
          <w:tcPr>
            <w:tcW w:type="dxa" w:w="1234"/>
          </w:tcPr>
          <w:p>
            <w:r>
              <w:rPr>
                <w:rFonts w:ascii="Calibri" w:hAnsi="Calibri"/>
                <w:sz w:val="22"/>
              </w:rPr>
              <w:t>$722</w:t>
            </w:r>
          </w:p>
        </w:tc>
        <w:tc>
          <w:tcPr>
            <w:tcW w:type="dxa" w:w="1234"/>
          </w:tcPr>
          <w:p>
            <w:r>
              <w:rPr>
                <w:rFonts w:ascii="Calibri" w:hAnsi="Calibri"/>
                <w:sz w:val="22"/>
              </w:rPr>
              <w:t>$644</w:t>
            </w:r>
          </w:p>
        </w:tc>
        <w:tc>
          <w:tcPr>
            <w:tcW w:type="dxa" w:w="1234"/>
          </w:tcPr>
          <w:p>
            <w:r>
              <w:rPr>
                <w:rFonts w:ascii="Calibri" w:hAnsi="Calibri"/>
                <w:sz w:val="22"/>
              </w:rPr>
              <w:t>$722</w:t>
            </w:r>
          </w:p>
        </w:tc>
        <w:tc>
          <w:tcPr>
            <w:tcW w:type="dxa" w:w="1234"/>
          </w:tcPr>
          <w:p>
            <w:r>
              <w:rPr>
                <w:rFonts w:ascii="Calibri" w:hAnsi="Calibri"/>
                <w:sz w:val="22"/>
              </w:rPr>
              <w:t>+12.1%</w:t>
            </w:r>
          </w:p>
        </w:tc>
        <w:tc>
          <w:tcPr>
            <w:tcW w:type="dxa" w:w="1234"/>
          </w:tcPr>
          <w:p>
            <w:r>
              <w:rPr>
                <w:rFonts w:ascii="Calibri" w:hAnsi="Calibri"/>
                <w:sz w:val="22"/>
              </w:rPr>
              <w:t>Roughly flat sequentially</w:t>
            </w:r>
          </w:p>
        </w:tc>
        <w:tc>
          <w:tcPr>
            <w:tcW w:type="dxa" w:w="1234"/>
          </w:tcPr>
          <w:p>
            <w:r>
              <w:rPr>
                <w:rFonts w:ascii="Calibri" w:hAnsi="Calibri"/>
                <w:sz w:val="22"/>
              </w:rPr>
              <w:t>~Flat vs. guidance midpoint</w:t>
            </w:r>
          </w:p>
        </w:tc>
      </w:tr>
      <w:tr>
        <w:tc>
          <w:tcPr>
            <w:tcW w:type="dxa" w:w="1234"/>
          </w:tcPr>
          <w:p>
            <w:r>
              <w:rPr>
                <w:rFonts w:ascii="Calibri" w:hAnsi="Calibri"/>
                <w:sz w:val="22"/>
              </w:rPr>
              <w:t>Revenue — ICS ($M)</w:t>
            </w:r>
          </w:p>
        </w:tc>
        <w:tc>
          <w:tcPr>
            <w:tcW w:type="dxa" w:w="1234"/>
          </w:tcPr>
          <w:p>
            <w:r>
              <w:rPr>
                <w:rFonts w:ascii="Calibri" w:hAnsi="Calibri"/>
                <w:sz w:val="22"/>
              </w:rPr>
              <w:t>$593</w:t>
            </w:r>
          </w:p>
        </w:tc>
        <w:tc>
          <w:tcPr>
            <w:tcW w:type="dxa" w:w="1234"/>
          </w:tcPr>
          <w:p>
            <w:r>
              <w:rPr>
                <w:rFonts w:ascii="Calibri" w:hAnsi="Calibri"/>
                <w:sz w:val="22"/>
              </w:rPr>
              <w:t>$526</w:t>
            </w:r>
          </w:p>
        </w:tc>
        <w:tc>
          <w:tcPr>
            <w:tcW w:type="dxa" w:w="1234"/>
          </w:tcPr>
          <w:p>
            <w:r>
              <w:rPr>
                <w:rFonts w:ascii="Calibri" w:hAnsi="Calibri"/>
                <w:sz w:val="22"/>
              </w:rPr>
              <w:t>$641</w:t>
            </w:r>
          </w:p>
        </w:tc>
        <w:tc>
          <w:tcPr>
            <w:tcW w:type="dxa" w:w="1234"/>
          </w:tcPr>
          <w:p>
            <w:r>
              <w:rPr>
                <w:rFonts w:ascii="Calibri" w:hAnsi="Calibri"/>
                <w:sz w:val="22"/>
              </w:rPr>
              <w:t>+21.9%</w:t>
            </w:r>
          </w:p>
        </w:tc>
        <w:tc>
          <w:tcPr>
            <w:tcW w:type="dxa" w:w="1234"/>
          </w:tcPr>
          <w:p>
            <w:r>
              <w:rPr>
                <w:rFonts w:ascii="Calibri" w:hAnsi="Calibri"/>
                <w:sz w:val="22"/>
              </w:rPr>
              <w:t>High-single-digit sequential growth</w:t>
            </w:r>
          </w:p>
        </w:tc>
        <w:tc>
          <w:tcPr>
            <w:tcW w:type="dxa" w:w="1234"/>
          </w:tcPr>
          <w:p>
            <w:r>
              <w:rPr>
                <w:rFonts w:ascii="Calibri" w:hAnsi="Calibri"/>
                <w:sz w:val="22"/>
              </w:rPr>
              <w:t>+0.1% vs. midpoint (~$640M implied)</w:t>
            </w:r>
          </w:p>
        </w:tc>
      </w:tr>
      <w:tr>
        <w:tc>
          <w:tcPr>
            <w:tcW w:type="dxa" w:w="1234"/>
          </w:tcPr>
          <w:p>
            <w:r>
              <w:rPr>
                <w:rFonts w:ascii="Calibri" w:hAnsi="Calibri"/>
                <w:sz w:val="22"/>
              </w:rPr>
              <w:t>Adj. EBITDA ($M)</w:t>
            </w:r>
          </w:p>
        </w:tc>
        <w:tc>
          <w:tcPr>
            <w:tcW w:type="dxa" w:w="1234"/>
          </w:tcPr>
          <w:p>
            <w:r>
              <w:rPr>
                <w:rFonts w:ascii="Calibri" w:hAnsi="Calibri"/>
                <w:sz w:val="22"/>
              </w:rPr>
              <w:t>$411</w:t>
            </w:r>
          </w:p>
        </w:tc>
        <w:tc>
          <w:tcPr>
            <w:tcW w:type="dxa" w:w="1234"/>
          </w:tcPr>
          <w:p>
            <w:r>
              <w:rPr>
                <w:rFonts w:ascii="Calibri" w:hAnsi="Calibri"/>
                <w:sz w:val="22"/>
              </w:rPr>
              <w:t>$354</w:t>
            </w:r>
          </w:p>
        </w:tc>
        <w:tc>
          <w:tcPr>
            <w:tcW w:type="dxa" w:w="1234"/>
          </w:tcPr>
          <w:p>
            <w:r>
              <w:rPr>
                <w:rFonts w:ascii="Calibri" w:hAnsi="Calibri"/>
                <w:sz w:val="22"/>
              </w:rPr>
              <w:t>$417</w:t>
            </w:r>
          </w:p>
        </w:tc>
        <w:tc>
          <w:tcPr>
            <w:tcW w:type="dxa" w:w="1234"/>
          </w:tcPr>
          <w:p>
            <w:r>
              <w:rPr>
                <w:rFonts w:ascii="Calibri" w:hAnsi="Calibri"/>
                <w:sz w:val="22"/>
              </w:rPr>
              <w:t>+17.8%</w:t>
            </w:r>
          </w:p>
        </w:tc>
        <w:tc>
          <w:tcPr>
            <w:tcW w:type="dxa" w:w="1234"/>
          </w:tcPr>
          <w:p>
            <w:r>
              <w:rPr>
                <w:rFonts w:ascii="Calibri" w:hAnsi="Calibri"/>
                <w:sz w:val="22"/>
              </w:rPr>
              <w:t>N/A (FY only)</w:t>
            </w:r>
          </w:p>
        </w:tc>
        <w:tc>
          <w:tcPr>
            <w:tcW w:type="dxa" w:w="1234"/>
          </w:tcPr>
          <w:p>
            <w:r>
              <w:rPr>
                <w:rFonts w:ascii="Calibri" w:hAnsi="Calibri"/>
                <w:sz w:val="22"/>
              </w:rPr>
              <w:t>N/A</w:t>
            </w:r>
          </w:p>
        </w:tc>
      </w:tr>
      <w:tr>
        <w:tc>
          <w:tcPr>
            <w:tcW w:type="dxa" w:w="1234"/>
          </w:tcPr>
          <w:p>
            <w:r>
              <w:rPr>
                <w:rFonts w:ascii="Calibri" w:hAnsi="Calibri"/>
                <w:sz w:val="22"/>
              </w:rPr>
              <w:t>Adj. EBITDA Margin (%)</w:t>
            </w:r>
          </w:p>
        </w:tc>
        <w:tc>
          <w:tcPr>
            <w:tcW w:type="dxa" w:w="1234"/>
          </w:tcPr>
          <w:p>
            <w:r>
              <w:rPr>
                <w:rFonts w:ascii="Calibri" w:hAnsi="Calibri"/>
                <w:sz w:val="22"/>
              </w:rPr>
              <w:t>31.3%</w:t>
            </w:r>
          </w:p>
        </w:tc>
        <w:tc>
          <w:tcPr>
            <w:tcW w:type="dxa" w:w="1234"/>
          </w:tcPr>
          <w:p>
            <w:r>
              <w:rPr>
                <w:rFonts w:ascii="Calibri" w:hAnsi="Calibri"/>
                <w:sz w:val="22"/>
              </w:rPr>
              <w:t>30.3%</w:t>
            </w:r>
          </w:p>
        </w:tc>
        <w:tc>
          <w:tcPr>
            <w:tcW w:type="dxa" w:w="1234"/>
          </w:tcPr>
          <w:p>
            <w:r>
              <w:rPr>
                <w:rFonts w:ascii="Calibri" w:hAnsi="Calibri"/>
                <w:sz w:val="22"/>
              </w:rPr>
              <w:t>30.6%</w:t>
            </w:r>
          </w:p>
        </w:tc>
        <w:tc>
          <w:tcPr>
            <w:tcW w:type="dxa" w:w="1234"/>
          </w:tcPr>
          <w:p>
            <w:r>
              <w:rPr>
                <w:rFonts w:ascii="Calibri" w:hAnsi="Calibri"/>
                <w:sz w:val="22"/>
              </w:rPr>
              <w:t>+30bps YoY</w:t>
            </w:r>
          </w:p>
        </w:tc>
        <w:tc>
          <w:tcPr>
            <w:tcW w:type="dxa" w:w="1234"/>
          </w:tcPr>
          <w:p>
            <w:r>
              <w:rPr>
                <w:rFonts w:ascii="Calibri" w:hAnsi="Calibri"/>
                <w:sz w:val="22"/>
              </w:rPr>
              <w:t>ICS: mid-to-high 20s; Semi: mid-30s</w:t>
            </w:r>
          </w:p>
        </w:tc>
        <w:tc>
          <w:tcPr>
            <w:tcW w:type="dxa" w:w="1234"/>
          </w:tcPr>
          <w:p>
            <w:r>
              <w:rPr>
                <w:rFonts w:ascii="Calibri" w:hAnsi="Calibri"/>
                <w:sz w:val="22"/>
              </w:rPr>
              <w:t>~In line with blended guidance</w:t>
            </w:r>
          </w:p>
        </w:tc>
      </w:tr>
      <w:tr>
        <w:tc>
          <w:tcPr>
            <w:tcW w:type="dxa" w:w="1234"/>
          </w:tcPr>
          <w:p>
            <w:r>
              <w:rPr>
                <w:rFonts w:ascii="Calibri" w:hAnsi="Calibri"/>
                <w:sz w:val="22"/>
              </w:rPr>
              <w:t>Adj. EPS — Diluted ($)</w:t>
            </w:r>
          </w:p>
        </w:tc>
        <w:tc>
          <w:tcPr>
            <w:tcW w:type="dxa" w:w="1234"/>
          </w:tcPr>
          <w:p>
            <w:r>
              <w:rPr>
                <w:rFonts w:ascii="Calibri" w:hAnsi="Calibri"/>
                <w:sz w:val="22"/>
              </w:rPr>
              <w:t>$1.076</w:t>
            </w:r>
          </w:p>
        </w:tc>
        <w:tc>
          <w:tcPr>
            <w:tcW w:type="dxa" w:w="1234"/>
          </w:tcPr>
          <w:p>
            <w:r>
              <w:rPr>
                <w:rFonts w:ascii="Calibri" w:hAnsi="Calibri"/>
                <w:sz w:val="22"/>
              </w:rPr>
              <w:t>$0.763</w:t>
            </w:r>
          </w:p>
        </w:tc>
        <w:tc>
          <w:tcPr>
            <w:tcW w:type="dxa" w:w="1234"/>
          </w:tcPr>
          <w:p>
            <w:r>
              <w:rPr>
                <w:rFonts w:ascii="Calibri" w:hAnsi="Calibri"/>
                <w:sz w:val="22"/>
              </w:rPr>
              <w:t>$1.074</w:t>
            </w:r>
          </w:p>
        </w:tc>
        <w:tc>
          <w:tcPr>
            <w:tcW w:type="dxa" w:w="1234"/>
          </w:tcPr>
          <w:p>
            <w:r>
              <w:rPr>
                <w:rFonts w:ascii="Calibri" w:hAnsi="Calibri"/>
                <w:sz w:val="22"/>
              </w:rPr>
              <w:t>+40.8%</w:t>
            </w:r>
          </w:p>
        </w:tc>
        <w:tc>
          <w:tcPr>
            <w:tcW w:type="dxa" w:w="1234"/>
          </w:tcPr>
          <w:p>
            <w:r>
              <w:rPr>
                <w:rFonts w:ascii="Calibri" w:hAnsi="Calibri"/>
                <w:sz w:val="22"/>
              </w:rPr>
              <w:t>N/A (FY: $3.80–$4.14)</w:t>
            </w:r>
          </w:p>
        </w:tc>
        <w:tc>
          <w:tcPr>
            <w:tcW w:type="dxa" w:w="1234"/>
          </w:tcPr>
          <w:p>
            <w:r>
              <w:rPr>
                <w:rFonts w:ascii="Calibri" w:hAnsi="Calibri"/>
                <w:sz w:val="22"/>
              </w:rPr>
              <w:t>N/A (FY consensus $4.18 vs. midpoint $3.97, +5.4%)</w:t>
            </w:r>
          </w:p>
        </w:tc>
      </w:tr>
      <w:tr>
        <w:tc>
          <w:tcPr>
            <w:tcW w:type="dxa" w:w="1234"/>
          </w:tcPr>
          <w:p>
            <w:r>
              <w:rPr>
                <w:rFonts w:ascii="Calibri" w:hAnsi="Calibri"/>
                <w:sz w:val="22"/>
              </w:rPr>
              <w:t>Free Cash Flow ($M)</w:t>
            </w:r>
          </w:p>
        </w:tc>
        <w:tc>
          <w:tcPr>
            <w:tcW w:type="dxa" w:w="1234"/>
          </w:tcPr>
          <w:p>
            <w:r>
              <w:rPr>
                <w:rFonts w:ascii="Calibri" w:hAnsi="Calibri"/>
                <w:sz w:val="22"/>
              </w:rPr>
              <w:t>$13</w:t>
            </w:r>
          </w:p>
        </w:tc>
        <w:tc>
          <w:tcPr>
            <w:tcW w:type="dxa" w:w="1234"/>
          </w:tcPr>
          <w:p>
            <w:r>
              <w:rPr>
                <w:rFonts w:ascii="Calibri" w:hAnsi="Calibri"/>
                <w:sz w:val="22"/>
              </w:rPr>
              <w:t>$223</w:t>
            </w:r>
          </w:p>
        </w:tc>
        <w:tc>
          <w:tcPr>
            <w:tcW w:type="dxa" w:w="1234"/>
          </w:tcPr>
          <w:p>
            <w:r>
              <w:rPr>
                <w:rFonts w:ascii="Calibri" w:hAnsi="Calibri"/>
                <w:sz w:val="22"/>
              </w:rPr>
              <w:t>$100</w:t>
            </w:r>
          </w:p>
        </w:tc>
        <w:tc>
          <w:tcPr>
            <w:tcW w:type="dxa" w:w="1234"/>
          </w:tcPr>
          <w:p>
            <w:r>
              <w:rPr>
                <w:rFonts w:ascii="Calibri" w:hAnsi="Calibri"/>
                <w:sz w:val="22"/>
              </w:rPr>
              <w:t>−55.2%</w:t>
            </w:r>
          </w:p>
        </w:tc>
        <w:tc>
          <w:tcPr>
            <w:tcW w:type="dxa" w:w="1234"/>
          </w:tcPr>
          <w:p>
            <w:r>
              <w:rPr>
                <w:rFonts w:ascii="Calibri" w:hAnsi="Calibri"/>
                <w:sz w:val="22"/>
              </w:rPr>
              <w:t>FY: $500M–$600M</w:t>
            </w:r>
          </w:p>
        </w:tc>
        <w:tc>
          <w:tcPr>
            <w:tcW w:type="dxa" w:w="1234"/>
          </w:tcPr>
          <w:p>
            <w:r>
              <w:rPr>
                <w:rFonts w:ascii="Calibri" w:hAnsi="Calibri"/>
                <w:sz w:val="22"/>
              </w:rPr>
              <w:t>FY consensus $479M vs. midpoint $550M, −12.9%</w:t>
            </w:r>
          </w:p>
        </w:tc>
      </w:tr>
    </w:tbl>
    <w:p>
      <w:r>
        <w:rPr>
          <w:rFonts w:ascii="Calibri" w:hAnsi="Calibri"/>
          <w:i/>
          <w:color w:val="525866"/>
          <w:sz w:val="22"/>
        </w:rPr>
        <w:t>Sources: Visible Alpha consensus and actuals data. Q2 2026 consensus as of August 3, 2026. Revenue guidance midpoint for Q2 implied from Q1 actual ($1,315M) + mid-single-digit sequential growth (~3–5%). ICS guidance midpoint implied from Q1 actual ($593M) + high-single-digit sequential growth (~8–9%). Semi guidance midpoint implied from Q1 actual ($722M) + roughly flat. FCF Q1 2026 actual is seasonally depressed (elevated CapEx quarter); FY FCF consensus vs. guidance midpoint reflects below-guidance positioning.</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$1,315</w:t>
            </w:r>
          </w:p>
        </w:tc>
        <w:tc>
          <w:tcPr>
            <w:tcW w:type="dxa" w:w="1728"/>
          </w:tcPr>
          <w:p>
            <w:r>
              <w:rPr>
                <w:rFonts w:ascii="Calibri" w:hAnsi="Calibri"/>
                <w:sz w:val="22"/>
              </w:rPr>
              <w:t>$1,271</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$1,190</w:t>
            </w:r>
          </w:p>
        </w:tc>
        <w:tc>
          <w:tcPr>
            <w:tcW w:type="dxa" w:w="1728"/>
          </w:tcPr>
          <w:p>
            <w:r>
              <w:rPr>
                <w:rFonts w:ascii="Calibri" w:hAnsi="Calibri"/>
                <w:sz w:val="22"/>
              </w:rPr>
              <w:t>$1,152</w:t>
            </w:r>
          </w:p>
        </w:tc>
        <w:tc>
          <w:tcPr>
            <w:tcW w:type="dxa" w:w="1728"/>
          </w:tcPr>
          <w:p>
            <w:r>
              <w:rPr>
                <w:rFonts w:ascii="Calibri" w:hAnsi="Calibri"/>
                <w:b/>
                <w:color w:val="30A46C"/>
                <w:sz w:val="22"/>
              </w:rPr>
              <w:t>+3.3%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$1,276</w:t>
            </w:r>
          </w:p>
        </w:tc>
        <w:tc>
          <w:tcPr>
            <w:tcW w:type="dxa" w:w="1728"/>
          </w:tcPr>
          <w:p>
            <w:r>
              <w:rPr>
                <w:rFonts w:ascii="Calibri" w:hAnsi="Calibri"/>
                <w:sz w:val="22"/>
              </w:rPr>
              <w:t>$1,185</w:t>
            </w:r>
          </w:p>
        </w:tc>
        <w:tc>
          <w:tcPr>
            <w:tcW w:type="dxa" w:w="1728"/>
          </w:tcPr>
          <w:p>
            <w:r>
              <w:rPr>
                <w:rFonts w:ascii="Calibri" w:hAnsi="Calibri"/>
                <w:b/>
                <w:color w:val="30A46C"/>
                <w:sz w:val="22"/>
              </w:rPr>
              <w:t>+7.7%</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$1,170</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$1,118</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$1,101</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$1,148</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$1,104</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Adj.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$1.076</w:t>
            </w:r>
          </w:p>
        </w:tc>
        <w:tc>
          <w:tcPr>
            <w:tcW w:type="dxa" w:w="1728"/>
          </w:tcPr>
          <w:p>
            <w:r>
              <w:rPr>
                <w:rFonts w:ascii="Calibri" w:hAnsi="Calibri"/>
                <w:sz w:val="22"/>
              </w:rPr>
              <w:t>$0.929</w:t>
            </w:r>
          </w:p>
        </w:tc>
        <w:tc>
          <w:tcPr>
            <w:tcW w:type="dxa" w:w="1728"/>
          </w:tcPr>
          <w:p>
            <w:r>
              <w:rPr>
                <w:rFonts w:ascii="Calibri" w:hAnsi="Calibri"/>
                <w:b/>
                <w:color w:val="30A46C"/>
                <w:sz w:val="22"/>
              </w:rPr>
              <w:t>+15.8%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$0.824</w:t>
            </w:r>
          </w:p>
        </w:tc>
        <w:tc>
          <w:tcPr>
            <w:tcW w:type="dxa" w:w="1728"/>
          </w:tcPr>
          <w:p>
            <w:r>
              <w:rPr>
                <w:rFonts w:ascii="Calibri" w:hAnsi="Calibri"/>
                <w:sz w:val="22"/>
              </w:rPr>
              <w:t>$0.655</w:t>
            </w:r>
          </w:p>
        </w:tc>
        <w:tc>
          <w:tcPr>
            <w:tcW w:type="dxa" w:w="1728"/>
          </w:tcPr>
          <w:p>
            <w:r>
              <w:rPr>
                <w:rFonts w:ascii="Calibri" w:hAnsi="Calibri"/>
                <w:b/>
                <w:color w:val="30A46C"/>
                <w:sz w:val="22"/>
              </w:rPr>
              <w:t>+25.8%</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$0.839</w:t>
            </w:r>
          </w:p>
        </w:tc>
        <w:tc>
          <w:tcPr>
            <w:tcW w:type="dxa" w:w="1728"/>
          </w:tcPr>
          <w:p>
            <w:r>
              <w:rPr>
                <w:rFonts w:ascii="Calibri" w:hAnsi="Calibri"/>
                <w:sz w:val="22"/>
              </w:rPr>
              <w:t>$0.613</w:t>
            </w:r>
          </w:p>
        </w:tc>
        <w:tc>
          <w:tcPr>
            <w:tcW w:type="dxa" w:w="1728"/>
          </w:tcPr>
          <w:p>
            <w:r>
              <w:rPr>
                <w:rFonts w:ascii="Calibri" w:hAnsi="Calibri"/>
                <w:b/>
                <w:color w:val="30A46C"/>
                <w:sz w:val="22"/>
              </w:rPr>
              <w:t>+36.9%</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$0.763</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Q1 2025</w:t>
            </w:r>
          </w:p>
        </w:tc>
        <w:tc>
          <w:tcPr>
            <w:tcW w:type="dxa" w:w="1728"/>
          </w:tcPr>
          <w:p>
            <w:r>
              <w:rPr>
                <w:rFonts w:ascii="Calibri" w:hAnsi="Calibri"/>
                <w:sz w:val="22"/>
              </w:rPr>
              <w:t>$0.812</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$0.869</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$0.834</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$0.694</w:t>
            </w:r>
          </w:p>
        </w:tc>
        <w:tc>
          <w:tcPr>
            <w:tcW w:type="dxa" w:w="1728"/>
          </w:tcPr>
          <w:p>
            <w:r>
              <w:rPr>
                <w:rFonts w:ascii="Calibri" w:hAnsi="Calibri"/>
                <w:sz w:val="22"/>
              </w:rPr>
              <w:t>N/A — pre-spin</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Since becoming a standalone public company (Q3 2025 onward), Qnity has beaten consensus on both revenue and EPS in all three reported quarters, with EPS beats averaging ~26% above consensus — a consistently high bar-setting pattern that reflects conservative guidance and strong execution, but also means the Street has been slow to fully credit the earnings power. Pre-spin consensus data is not available for Q2 2024 through Q2 2025.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across all metrics at Q1 2026 earnings (May 12) and has not been formally revised since; tone remains confident with a deliberate second-half conservatism on macro/tariff, which management has explicitly flagged as a potential source of upside if conditions improve.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12)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Net Sales</w:t>
            </w:r>
          </w:p>
        </w:tc>
        <w:tc>
          <w:tcPr>
            <w:tcW w:type="dxa" w:w="1728"/>
          </w:tcPr>
          <w:p>
            <w:r>
              <w:rPr>
                <w:rFonts w:ascii="Calibri" w:hAnsi="Calibri"/>
                <w:sz w:val="22"/>
              </w:rPr>
              <w:t>$5.225B – $5.375B</w:t>
            </w:r>
          </w:p>
        </w:tc>
        <w:tc>
          <w:tcPr>
            <w:tcW w:type="dxa" w:w="1728"/>
          </w:tcPr>
          <w:p>
            <w:r>
              <w:rPr>
                <w:rFonts w:ascii="Calibri" w:hAnsi="Calibri"/>
                <w:sz w:val="22"/>
              </w:rPr>
              <w:t>—</w:t>
            </w:r>
          </w:p>
        </w:tc>
        <w:tc>
          <w:tcPr>
            <w:tcW w:type="dxa" w:w="1728"/>
          </w:tcPr>
          <w:p>
            <w:r>
              <w:rPr>
                <w:rFonts w:ascii="Calibri" w:hAnsi="Calibri"/>
                <w:sz w:val="22"/>
              </w:rPr>
              <w:t>$5.415B</w:t>
            </w:r>
          </w:p>
        </w:tc>
        <w:tc>
          <w:tcPr>
            <w:tcW w:type="dxa" w:w="1728"/>
          </w:tcPr>
          <w:p>
            <w:r>
              <w:rPr>
                <w:rFonts w:ascii="Calibri" w:hAnsi="Calibri"/>
                <w:sz w:val="22"/>
              </w:rPr>
              <w:t>Consensus sits ~0.7% above guidance midpoint ($5.300B); no post-earnings revision to guidance</w:t>
            </w:r>
          </w:p>
        </w:tc>
      </w:tr>
      <w:tr>
        <w:tc>
          <w:tcPr>
            <w:tcW w:type="dxa" w:w="1728"/>
          </w:tcPr>
          <w:p>
            <w:r>
              <w:rPr>
                <w:rFonts w:ascii="Calibri" w:hAnsi="Calibri"/>
                <w:sz w:val="22"/>
              </w:rPr>
              <w:t>FY2026 Adj. Operating EBITDA</w:t>
            </w:r>
          </w:p>
        </w:tc>
        <w:tc>
          <w:tcPr>
            <w:tcW w:type="dxa" w:w="1728"/>
          </w:tcPr>
          <w:p>
            <w:r>
              <w:rPr>
                <w:rFonts w:ascii="Calibri" w:hAnsi="Calibri"/>
                <w:sz w:val="22"/>
              </w:rPr>
              <w:t>$1.535B – $1.625B</w:t>
            </w:r>
          </w:p>
        </w:tc>
        <w:tc>
          <w:tcPr>
            <w:tcW w:type="dxa" w:w="1728"/>
          </w:tcPr>
          <w:p>
            <w:r>
              <w:rPr>
                <w:rFonts w:ascii="Calibri" w:hAnsi="Calibri"/>
                <w:sz w:val="22"/>
              </w:rPr>
              <w:t>—</w:t>
            </w:r>
          </w:p>
        </w:tc>
        <w:tc>
          <w:tcPr>
            <w:tcW w:type="dxa" w:w="1728"/>
          </w:tcPr>
          <w:p>
            <w:r>
              <w:rPr>
                <w:rFonts w:ascii="Calibri" w:hAnsi="Calibri"/>
                <w:sz w:val="22"/>
              </w:rPr>
              <w:t>$1.631B</w:t>
            </w:r>
          </w:p>
        </w:tc>
        <w:tc>
          <w:tcPr>
            <w:tcW w:type="dxa" w:w="1728"/>
          </w:tcPr>
          <w:p>
            <w:r>
              <w:rPr>
                <w:rFonts w:ascii="Calibri" w:hAnsi="Calibri"/>
                <w:sz w:val="22"/>
              </w:rPr>
              <w:t>Consensus ~0.4% above guidance midpoint ($1.580B); margin expansion thesis intact</w:t>
            </w:r>
          </w:p>
        </w:tc>
      </w:tr>
      <w:tr>
        <w:tc>
          <w:tcPr>
            <w:tcW w:type="dxa" w:w="1728"/>
          </w:tcPr>
          <w:p>
            <w:r>
              <w:rPr>
                <w:rFonts w:ascii="Calibri" w:hAnsi="Calibri"/>
                <w:sz w:val="22"/>
              </w:rPr>
              <w:t>FY2026 Adj. EPS</w:t>
            </w:r>
          </w:p>
        </w:tc>
        <w:tc>
          <w:tcPr>
            <w:tcW w:type="dxa" w:w="1728"/>
          </w:tcPr>
          <w:p>
            <w:r>
              <w:rPr>
                <w:rFonts w:ascii="Calibri" w:hAnsi="Calibri"/>
                <w:sz w:val="22"/>
              </w:rPr>
              <w:t>$3.80 – $4.14</w:t>
            </w:r>
          </w:p>
        </w:tc>
        <w:tc>
          <w:tcPr>
            <w:tcW w:type="dxa" w:w="1728"/>
          </w:tcPr>
          <w:p>
            <w:r>
              <w:rPr>
                <w:rFonts w:ascii="Calibri" w:hAnsi="Calibri"/>
                <w:sz w:val="22"/>
              </w:rPr>
              <w:t>—</w:t>
            </w:r>
          </w:p>
        </w:tc>
        <w:tc>
          <w:tcPr>
            <w:tcW w:type="dxa" w:w="1728"/>
          </w:tcPr>
          <w:p>
            <w:r>
              <w:rPr>
                <w:rFonts w:ascii="Calibri" w:hAnsi="Calibri"/>
                <w:sz w:val="22"/>
              </w:rPr>
              <w:t>$4.184</w:t>
            </w:r>
          </w:p>
        </w:tc>
        <w:tc>
          <w:tcPr>
            <w:tcW w:type="dxa" w:w="1728"/>
          </w:tcPr>
          <w:p>
            <w:r>
              <w:rPr>
                <w:rFonts w:ascii="Calibri" w:hAnsi="Calibri"/>
                <w:sz w:val="22"/>
              </w:rPr>
              <w:t>Consensus +5.4% above guidance midpoint ($3.97); Street pricing in modest outperformance</w:t>
            </w:r>
          </w:p>
        </w:tc>
      </w:tr>
      <w:tr>
        <w:tc>
          <w:tcPr>
            <w:tcW w:type="dxa" w:w="1728"/>
          </w:tcPr>
          <w:p>
            <w:r>
              <w:rPr>
                <w:rFonts w:ascii="Calibri" w:hAnsi="Calibri"/>
                <w:sz w:val="22"/>
              </w:rPr>
              <w:t>FY2026 Adj. Free Cash Flow</w:t>
            </w:r>
          </w:p>
        </w:tc>
        <w:tc>
          <w:tcPr>
            <w:tcW w:type="dxa" w:w="1728"/>
          </w:tcPr>
          <w:p>
            <w:r>
              <w:rPr>
                <w:rFonts w:ascii="Calibri" w:hAnsi="Calibri"/>
                <w:sz w:val="22"/>
              </w:rPr>
              <w:t>$500M – $600M</w:t>
            </w:r>
          </w:p>
        </w:tc>
        <w:tc>
          <w:tcPr>
            <w:tcW w:type="dxa" w:w="1728"/>
          </w:tcPr>
          <w:p>
            <w:r>
              <w:rPr>
                <w:rFonts w:ascii="Calibri" w:hAnsi="Calibri"/>
                <w:sz w:val="22"/>
              </w:rPr>
              <w:t>—</w:t>
            </w:r>
          </w:p>
        </w:tc>
        <w:tc>
          <w:tcPr>
            <w:tcW w:type="dxa" w:w="1728"/>
          </w:tcPr>
          <w:p>
            <w:r>
              <w:rPr>
                <w:rFonts w:ascii="Calibri" w:hAnsi="Calibri"/>
                <w:sz w:val="22"/>
              </w:rPr>
              <w:t>$479M</w:t>
            </w:r>
          </w:p>
        </w:tc>
        <w:tc>
          <w:tcPr>
            <w:tcW w:type="dxa" w:w="1728"/>
          </w:tcPr>
          <w:p>
            <w:r>
              <w:rPr>
                <w:rFonts w:ascii="Calibri" w:hAnsi="Calibri"/>
                <w:sz w:val="22"/>
              </w:rPr>
              <w:t>Consensus −12.9% below guidance midpoint ($550M); Street more cautious on FCF given elevated CapEx (~9% of sales in 2026)</w:t>
            </w:r>
          </w:p>
        </w:tc>
      </w:tr>
      <w:tr>
        <w:tc>
          <w:tcPr>
            <w:tcW w:type="dxa" w:w="1728"/>
          </w:tcPr>
          <w:p>
            <w:r>
              <w:rPr>
                <w:rFonts w:ascii="Calibri" w:hAnsi="Calibri"/>
                <w:sz w:val="22"/>
              </w:rPr>
              <w:t>Q2 2026 Net Sales (sequential)</w:t>
            </w:r>
          </w:p>
        </w:tc>
        <w:tc>
          <w:tcPr>
            <w:tcW w:type="dxa" w:w="1728"/>
          </w:tcPr>
          <w:p>
            <w:r>
              <w:rPr>
                <w:rFonts w:ascii="Calibri" w:hAnsi="Calibri"/>
                <w:sz w:val="22"/>
              </w:rPr>
              <w:t>Mid-single-digit sequential growth from Q1 ($1,315M)</w:t>
            </w:r>
          </w:p>
        </w:tc>
        <w:tc>
          <w:tcPr>
            <w:tcW w:type="dxa" w:w="1728"/>
          </w:tcPr>
          <w:p>
            <w:r>
              <w:rPr>
                <w:rFonts w:ascii="Calibri" w:hAnsi="Calibri"/>
                <w:sz w:val="22"/>
              </w:rPr>
              <w:t>—</w:t>
            </w:r>
          </w:p>
        </w:tc>
        <w:tc>
          <w:tcPr>
            <w:tcW w:type="dxa" w:w="1728"/>
          </w:tcPr>
          <w:p>
            <w:r>
              <w:rPr>
                <w:rFonts w:ascii="Calibri" w:hAnsi="Calibri"/>
                <w:sz w:val="22"/>
              </w:rPr>
              <w:t>$1,364M (+3.7% seq.)</w:t>
            </w:r>
          </w:p>
        </w:tc>
        <w:tc>
          <w:tcPr>
            <w:tcW w:type="dxa" w:w="1728"/>
          </w:tcPr>
          <w:p>
            <w:r>
              <w:rPr>
                <w:rFonts w:ascii="Calibri" w:hAnsi="Calibri"/>
                <w:sz w:val="22"/>
              </w:rPr>
              <w:t>Consensus in line with guidance; Semi roughly flat, ICS high-single-digit sequential growth</w:t>
            </w:r>
          </w:p>
        </w:tc>
      </w:tr>
      <w:tr>
        <w:tc>
          <w:tcPr>
            <w:tcW w:type="dxa" w:w="1728"/>
          </w:tcPr>
          <w:p>
            <w:r>
              <w:rPr>
                <w:rFonts w:ascii="Calibri" w:hAnsi="Calibri"/>
                <w:sz w:val="22"/>
              </w:rPr>
              <w:t>Q2 2026 Semi Margin</w:t>
            </w:r>
          </w:p>
        </w:tc>
        <w:tc>
          <w:tcPr>
            <w:tcW w:type="dxa" w:w="1728"/>
          </w:tcPr>
          <w:p>
            <w:r>
              <w:rPr>
                <w:rFonts w:ascii="Calibri" w:hAnsi="Calibri"/>
                <w:sz w:val="22"/>
              </w:rPr>
              <w:t>Mid-30s%</w:t>
            </w:r>
          </w:p>
        </w:tc>
        <w:tc>
          <w:tcPr>
            <w:tcW w:type="dxa" w:w="1728"/>
          </w:tcPr>
          <w:p>
            <w:r>
              <w:rPr>
                <w:rFonts w:ascii="Calibri" w:hAnsi="Calibri"/>
                <w:sz w:val="22"/>
              </w:rPr>
              <w:t>—</w:t>
            </w:r>
          </w:p>
        </w:tc>
        <w:tc>
          <w:tcPr>
            <w:tcW w:type="dxa" w:w="1728"/>
          </w:tcPr>
          <w:p>
            <w:r>
              <w:rPr>
                <w:rFonts w:ascii="Calibri" w:hAnsi="Calibri"/>
                <w:sz w:val="22"/>
              </w:rPr>
              <w:t>~30.6% blended (VA)</w:t>
            </w:r>
          </w:p>
        </w:tc>
        <w:tc>
          <w:tcPr>
            <w:tcW w:type="dxa" w:w="1728"/>
          </w:tcPr>
          <w:p>
            <w:r>
              <w:rPr>
                <w:rFonts w:ascii="Calibri" w:hAnsi="Calibri"/>
                <w:sz w:val="22"/>
              </w:rPr>
              <w:t>Segment-level margin guidance unchanged; Semi mid-30s, ICS mid-to-high 20s</w:t>
            </w:r>
          </w:p>
        </w:tc>
      </w:tr>
      <w:tr>
        <w:tc>
          <w:tcPr>
            <w:tcW w:type="dxa" w:w="1728"/>
          </w:tcPr>
          <w:p>
            <w:r>
              <w:rPr>
                <w:rFonts w:ascii="Calibri" w:hAnsi="Calibri"/>
                <w:sz w:val="22"/>
              </w:rPr>
              <w:t>FY2026 MSI Wafer Start Growth</w:t>
            </w:r>
          </w:p>
        </w:tc>
        <w:tc>
          <w:tcPr>
            <w:tcW w:type="dxa" w:w="1728"/>
          </w:tcPr>
          <w:p>
            <w:r>
              <w:rPr>
                <w:rFonts w:ascii="Calibri" w:hAnsi="Calibri"/>
                <w:sz w:val="22"/>
              </w:rPr>
              <w:t>Mid-to-high single digits (upgraded from mid-single digits at Q1)</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CEO noted “room to do even better” as year progresses; key leading indicator for revenue outperformance</w:t>
            </w:r>
          </w:p>
        </w:tc>
      </w:tr>
    </w:tbl>
    <w:p>
      <w:r>
        <w:rPr>
          <w:rFonts w:ascii="Calibri" w:hAnsi="Calibri"/>
          <w:b/>
          <w:color w:val="525866"/>
          <w:sz w:val="22"/>
        </w:rPr>
        <w:t xml:space="preserve">Note: </w:t>
      </w:r>
      <w:r>
        <w:rPr>
          <w:rFonts w:ascii="Calibri" w:hAnsi="Calibri"/>
          <w:color w:val="525866"/>
          <w:sz w:val="22"/>
        </w:rPr>
        <w:t>The only post-earnings corporate event was the July 1, 2026 term loan repricing (8-K), which reduced the interest rate margin by 25bps on $2.338B of term loans — a modest positive for interest expense but not a guidance revision. No formal guidance update has been issued since the Q1 2026 earnings call on May 12, 2026. Sources: Q1 2026 Earnings Release and Transcript (May 12,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2026 print — FY2026 revenue and EPS consensus are now slightly above the guidance midpoint, suggesting the Street has absorbed the raise and is beginning to price in modest outperformance. The gap is not large enough to represent a stretched bar, but it does mean the stock needs a clean beat-and-raise to re-rate from current depressed levels.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(5/17/26, +5 Days Post Q1)</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$1,361M</w:t>
            </w:r>
          </w:p>
        </w:tc>
        <w:tc>
          <w:tcPr>
            <w:tcW w:type="dxa" w:w="1080"/>
          </w:tcPr>
          <w:p>
            <w:r>
              <w:rPr>
                <w:rFonts w:ascii="Calibri" w:hAnsi="Calibri"/>
                <w:sz w:val="22"/>
              </w:rPr>
              <w:t>$1,364M</w:t>
            </w:r>
          </w:p>
        </w:tc>
        <w:tc>
          <w:tcPr>
            <w:tcW w:type="dxa" w:w="1080"/>
          </w:tcPr>
          <w:p>
            <w:r>
              <w:rPr>
                <w:rFonts w:ascii="Calibri" w:hAnsi="Calibri"/>
                <w:sz w:val="22"/>
              </w:rPr>
              <w:t>+0.2%</w:t>
            </w:r>
          </w:p>
        </w:tc>
        <w:tc>
          <w:tcPr>
            <w:tcW w:type="dxa" w:w="1080"/>
          </w:tcPr>
          <w:p>
            <w:r>
              <w:rPr>
                <w:rFonts w:ascii="Calibri" w:hAnsi="Calibri"/>
                <w:sz w:val="22"/>
              </w:rPr>
              <w:t>Mid-SD seq. growth (~$1,356M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w:t>
            </w:r>
          </w:p>
        </w:tc>
      </w:tr>
      <w:tr>
        <w:tc>
          <w:tcPr>
            <w:tcW w:type="dxa" w:w="1080"/>
          </w:tcPr>
          <w:p>
            <w:r>
              <w:rPr>
                <w:rFonts w:ascii="Calibri" w:hAnsi="Calibri"/>
                <w:sz w:val="22"/>
              </w:rPr>
              <w:t>Total Revenue — FY2026</w:t>
            </w:r>
          </w:p>
        </w:tc>
        <w:tc>
          <w:tcPr>
            <w:tcW w:type="dxa" w:w="1080"/>
          </w:tcPr>
          <w:p>
            <w:r>
              <w:rPr>
                <w:rFonts w:ascii="Calibri" w:hAnsi="Calibri"/>
                <w:sz w:val="22"/>
              </w:rPr>
              <w:t>$5,377M</w:t>
            </w:r>
          </w:p>
        </w:tc>
        <w:tc>
          <w:tcPr>
            <w:tcW w:type="dxa" w:w="1080"/>
          </w:tcPr>
          <w:p>
            <w:r>
              <w:rPr>
                <w:rFonts w:ascii="Calibri" w:hAnsi="Calibri"/>
                <w:sz w:val="22"/>
              </w:rPr>
              <w:t>$5,415M</w:t>
            </w:r>
          </w:p>
        </w:tc>
        <w:tc>
          <w:tcPr>
            <w:tcW w:type="dxa" w:w="1080"/>
          </w:tcPr>
          <w:p>
            <w:r>
              <w:rPr>
                <w:rFonts w:ascii="Calibri" w:hAnsi="Calibri"/>
                <w:sz w:val="22"/>
              </w:rPr>
              <w:t>+0.7%</w:t>
            </w:r>
          </w:p>
        </w:tc>
        <w:tc>
          <w:tcPr>
            <w:tcW w:type="dxa" w:w="1080"/>
          </w:tcPr>
          <w:p>
            <w:r>
              <w:rPr>
                <w:rFonts w:ascii="Calibri" w:hAnsi="Calibri"/>
                <w:sz w:val="22"/>
              </w:rPr>
              <w:t>$5,225M – $5,375M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 vs. midpoint</w:t>
            </w:r>
          </w:p>
        </w:tc>
      </w:tr>
      <w:tr>
        <w:tc>
          <w:tcPr>
            <w:tcW w:type="dxa" w:w="1080"/>
          </w:tcPr>
          <w:p>
            <w:r>
              <w:rPr>
                <w:rFonts w:ascii="Calibri" w:hAnsi="Calibri"/>
                <w:sz w:val="22"/>
              </w:rPr>
              <w:t>Total Revenue — FY2027</w:t>
            </w:r>
          </w:p>
        </w:tc>
        <w:tc>
          <w:tcPr>
            <w:tcW w:type="dxa" w:w="1080"/>
          </w:tcPr>
          <w:p>
            <w:r>
              <w:rPr>
                <w:rFonts w:ascii="Calibri" w:hAnsi="Calibri"/>
                <w:sz w:val="22"/>
              </w:rPr>
              <w:t>$5,876M</w:t>
            </w:r>
          </w:p>
        </w:tc>
        <w:tc>
          <w:tcPr>
            <w:tcW w:type="dxa" w:w="1080"/>
          </w:tcPr>
          <w:p>
            <w:r>
              <w:rPr>
                <w:rFonts w:ascii="Calibri" w:hAnsi="Calibri"/>
                <w:sz w:val="22"/>
              </w:rPr>
              <w:t>$5,960M</w:t>
            </w:r>
          </w:p>
        </w:tc>
        <w:tc>
          <w:tcPr>
            <w:tcW w:type="dxa" w:w="1080"/>
          </w:tcPr>
          <w:p>
            <w:r>
              <w:rPr>
                <w:rFonts w:ascii="Calibri" w:hAnsi="Calibri"/>
                <w:sz w:val="22"/>
              </w:rPr>
              <w:t>+1.4%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$1.061</w:t>
            </w:r>
          </w:p>
        </w:tc>
        <w:tc>
          <w:tcPr>
            <w:tcW w:type="dxa" w:w="1080"/>
          </w:tcPr>
          <w:p>
            <w:r>
              <w:rPr>
                <w:rFonts w:ascii="Calibri" w:hAnsi="Calibri"/>
                <w:sz w:val="22"/>
              </w:rPr>
              <w:t>$1.074</w:t>
            </w:r>
          </w:p>
        </w:tc>
        <w:tc>
          <w:tcPr>
            <w:tcW w:type="dxa" w:w="1080"/>
          </w:tcPr>
          <w:p>
            <w:r>
              <w:rPr>
                <w:rFonts w:ascii="Calibri" w:hAnsi="Calibri"/>
                <w:sz w:val="22"/>
              </w:rPr>
              <w:t>+1.2%</w:t>
            </w:r>
          </w:p>
        </w:tc>
        <w:tc>
          <w:tcPr>
            <w:tcW w:type="dxa" w:w="1080"/>
          </w:tcPr>
          <w:p>
            <w:r>
              <w:rPr>
                <w:rFonts w:ascii="Calibri" w:hAnsi="Calibri"/>
                <w:sz w:val="22"/>
              </w:rPr>
              <w:t>N/A (FY: $3.80–$4.14)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$4.108</w:t>
            </w:r>
          </w:p>
        </w:tc>
        <w:tc>
          <w:tcPr>
            <w:tcW w:type="dxa" w:w="1080"/>
          </w:tcPr>
          <w:p>
            <w:r>
              <w:rPr>
                <w:rFonts w:ascii="Calibri" w:hAnsi="Calibri"/>
                <w:sz w:val="22"/>
              </w:rPr>
              <w:t>$4.184</w:t>
            </w:r>
          </w:p>
        </w:tc>
        <w:tc>
          <w:tcPr>
            <w:tcW w:type="dxa" w:w="1080"/>
          </w:tcPr>
          <w:p>
            <w:r>
              <w:rPr>
                <w:rFonts w:ascii="Calibri" w:hAnsi="Calibri"/>
                <w:sz w:val="22"/>
              </w:rPr>
              <w:t>+1.9%</w:t>
            </w:r>
          </w:p>
        </w:tc>
        <w:tc>
          <w:tcPr>
            <w:tcW w:type="dxa" w:w="1080"/>
          </w:tcPr>
          <w:p>
            <w:r>
              <w:rPr>
                <w:rFonts w:ascii="Calibri" w:hAnsi="Calibri"/>
                <w:sz w:val="22"/>
              </w:rPr>
              <w:t>$3.80 – $4.14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+5.4% vs. midpoint</w:t>
            </w:r>
          </w:p>
        </w:tc>
      </w:tr>
      <w:tr>
        <w:tc>
          <w:tcPr>
            <w:tcW w:type="dxa" w:w="1080"/>
          </w:tcPr>
          <w:p>
            <w:r>
              <w:rPr>
                <w:rFonts w:ascii="Calibri" w:hAnsi="Calibri"/>
                <w:sz w:val="22"/>
              </w:rPr>
              <w:t>Adj. EPS — FY2027</w:t>
            </w:r>
          </w:p>
        </w:tc>
        <w:tc>
          <w:tcPr>
            <w:tcW w:type="dxa" w:w="1080"/>
          </w:tcPr>
          <w:p>
            <w:r>
              <w:rPr>
                <w:rFonts w:ascii="Calibri" w:hAnsi="Calibri"/>
                <w:sz w:val="22"/>
              </w:rPr>
              <w:t>$4.801</w:t>
            </w:r>
          </w:p>
        </w:tc>
        <w:tc>
          <w:tcPr>
            <w:tcW w:type="dxa" w:w="1080"/>
          </w:tcPr>
          <w:p>
            <w:r>
              <w:rPr>
                <w:rFonts w:ascii="Calibri" w:hAnsi="Calibri"/>
                <w:sz w:val="22"/>
              </w:rPr>
              <w:t>$4.943</w:t>
            </w:r>
          </w:p>
        </w:tc>
        <w:tc>
          <w:tcPr>
            <w:tcW w:type="dxa" w:w="1080"/>
          </w:tcPr>
          <w:p>
            <w:r>
              <w:rPr>
                <w:rFonts w:ascii="Calibri" w:hAnsi="Calibri"/>
                <w:sz w:val="22"/>
              </w:rPr>
              <w:t>+3.0%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$1,612M</w:t>
            </w:r>
          </w:p>
        </w:tc>
        <w:tc>
          <w:tcPr>
            <w:tcW w:type="dxa" w:w="1080"/>
          </w:tcPr>
          <w:p>
            <w:r>
              <w:rPr>
                <w:rFonts w:ascii="Calibri" w:hAnsi="Calibri"/>
                <w:sz w:val="22"/>
              </w:rPr>
              <w:t>$1,631M</w:t>
            </w:r>
          </w:p>
        </w:tc>
        <w:tc>
          <w:tcPr>
            <w:tcW w:type="dxa" w:w="1080"/>
          </w:tcPr>
          <w:p>
            <w:r>
              <w:rPr>
                <w:rFonts w:ascii="Calibri" w:hAnsi="Calibri"/>
                <w:sz w:val="22"/>
              </w:rPr>
              <w:t>+1.2%</w:t>
            </w:r>
          </w:p>
        </w:tc>
        <w:tc>
          <w:tcPr>
            <w:tcW w:type="dxa" w:w="1080"/>
          </w:tcPr>
          <w:p>
            <w:r>
              <w:rPr>
                <w:rFonts w:ascii="Calibri" w:hAnsi="Calibri"/>
                <w:sz w:val="22"/>
              </w:rPr>
              <w:t>$1,535M – $1,625M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midpoint</w:t>
            </w:r>
          </w:p>
        </w:tc>
      </w:tr>
    </w:tbl>
    <w:p>
      <w:r>
        <w:rPr>
          <w:rFonts w:ascii="Calibri" w:hAnsi="Calibri"/>
          <w:color w:val="525866"/>
          <w:sz w:val="22"/>
        </w:rPr>
        <w:t>Estimates are tracking guidance closely and drifting modestly higher, consistent with the Street gradually pricing in the company's track record of conservative guidance. The most notable divergence is on FCF, where consensus ($479M) sits well below the guidance midpoint ($550M), reflecting uncertainty around the timing of CapEx normalization. FY2027 EPS has moved up +3.0% since the Q1 print, suggesting growing confidence in the medium-term earnings trajectory. Source: Visible Alpha consensus and actuals data; as-of date May 17, 2026 (5 trading days post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Q has dramatically underperformed since Q1 earnings — down ~21% vs. S&amp;P 500 +2.6% and SOXX −1.6% — driven by multiple compression and sector rotation rather than estimate cuts, which means the stock enters Q2 earnings with sentiment reset and a lower bar for a positive reaction.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Q vs. SOXX vs. S&amp;P 500 — Indexed to 100 at May 12, 2026 (Q1 2026 Earnings Date). Source: Yahoo Finance / Stock Price Data.</w:t>
      </w:r>
    </w:p>
    <w:p>
      <w:r>
        <w:rPr>
          <w:rFonts w:ascii="Calibri" w:hAnsi="Calibri"/>
          <w:color w:val="525866"/>
          <w:sz w:val="22"/>
        </w:rPr>
        <w:t xml:space="preserve">Since the Q1 2026 earnings date (May 12, 2026), Q has declined from $168.36 to $133.30 as of August 4, 2026, a loss of </w:t>
      </w:r>
      <w:r>
        <w:rPr>
          <w:rFonts w:ascii="Calibri" w:hAnsi="Calibri"/>
          <w:b/>
          <w:color w:val="525866"/>
          <w:sz w:val="22"/>
        </w:rPr>
        <w:t>−20.8%</w:t>
      </w:r>
      <w:r>
        <w:rPr>
          <w:rFonts w:ascii="Calibri" w:hAnsi="Calibri"/>
          <w:color w:val="525866"/>
          <w:sz w:val="22"/>
        </w:rPr>
        <w:t xml:space="preserve"> on an absolute basis. This compares to the S&amp;P 500 (SPY) gaining </w:t>
      </w:r>
      <w:r>
        <w:rPr>
          <w:rFonts w:ascii="Calibri" w:hAnsi="Calibri"/>
          <w:b/>
          <w:color w:val="525866"/>
          <w:sz w:val="22"/>
        </w:rPr>
        <w:t>+2.6%</w:t>
      </w:r>
      <w:r>
        <w:rPr>
          <w:rFonts w:ascii="Calibri" w:hAnsi="Calibri"/>
          <w:color w:val="525866"/>
          <w:sz w:val="22"/>
        </w:rPr>
        <w:t xml:space="preserve"> and the SOXX semiconductor ETF declining </w:t>
      </w:r>
      <w:r>
        <w:rPr>
          <w:rFonts w:ascii="Calibri" w:hAnsi="Calibri"/>
          <w:b/>
          <w:color w:val="525866"/>
          <w:sz w:val="22"/>
        </w:rPr>
        <w:t>−1.6%</w:t>
      </w:r>
      <w:r>
        <w:rPr>
          <w:rFonts w:ascii="Calibri" w:hAnsi="Calibri"/>
          <w:color w:val="525866"/>
          <w:sz w:val="22"/>
        </w:rPr>
        <w:t xml:space="preserve"> over the same period. The underperformance is striking: Q has lagged the SOXX by ~19 percentage points and the S&amp;P 500 by ~23 percentage points since its last earnings beat. The stock peaked at $175.64 on June 22 before a sustained selloff through late July, reaching a trough near $123.39 on July 29. The selloff appears driven by multiple compression and sector rotation rather than fundamental deterioration — FY2026 consensus estimates have actually moved modestly higher since the Q1 print. Key events during the period include the Wolfe Research Materials of the Future Conference (June 12–13), where management reinforced the strategic narrative, and the July 1 term loan repricing (a modest positive). The stock's sharp underperformance relative to both the market and its semiconductor peers sets up a potentially asymmetric reaction to a clean Q2 beat-and-raise, as the valuation has de-rated meaningfully from post-Q1 levels. Sector ETF used: SOXX (iShares Semiconductor ETF), appropriate for Q's semiconductor materials and advanced packaging sub-sector exposure.</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Peer commentary from the last 60 days is uniformly bullish on the demand environment that drives Qnity's business — wafer starts accelerating, advanced packaging growing 50–70%+, HBM demand intensifying, and fab utilization at or near 100% — all of which are direct read-throughs to Q's consumables-heavy revenue model. The read-through from KLAC, LRCX, AMAT, and TSM is among the most constructive in recent memory.</w:t>
      </w:r>
    </w:p>
    <w:p>
      <w:r>
        <w:rPr>
          <w:rFonts w:ascii="Calibri" w:hAnsi="Calibri"/>
          <w:b/>
          <w:color w:val="525866"/>
          <w:sz w:val="22"/>
        </w:rPr>
        <w:t xml:space="preserve">Note: </w:t>
      </w:r>
      <w:r>
        <w:rPr>
          <w:rFonts w:ascii="Calibri" w:hAnsi="Calibri"/>
          <w:color w:val="525866"/>
          <w:sz w:val="22"/>
        </w:rPr>
        <w:t>Only commentary from the last 60 days (since ~June 4, 2026) that speaks to the current reporting quarter (Q2 2026 calendar period) or the forward demand environment is included below. Prior-quarter result commentary is excluded per the user's instruction.</w:t>
      </w:r>
    </w:p>
    <w:p>
      <w:pPr>
        <w:pStyle w:val="Heading3"/>
      </w:pPr>
      <w:r>
        <w:rPr>
          <w:rFonts w:ascii="Calibri" w:hAnsi="Calibri"/>
          <w:b/>
          <w:color w:val="3B4259"/>
          <w:sz w:val="24"/>
        </w:rPr>
        <w:t>Applied Materials (AMAT) — Bank of America Global Technology Conference (June 2, 2026) &amp; DRAM/Advanced Packaging Master Class (June 25, 2026)</w:t>
      </w:r>
    </w:p>
    <w:p>
      <w:pPr>
        <w:pStyle w:val="ListBullet"/>
        <w:ind w:left="360" w:hanging="360"/>
      </w:pPr>
      <w:r>
        <w:rPr>
          <w:rFonts w:ascii="Calibri" w:hAnsi="Calibri"/>
          <w:b/>
          <w:color w:val="525866"/>
          <w:sz w:val="22"/>
        </w:rPr>
        <w:t xml:space="preserve">Wafer starts at strongest growth rate ever for DRAM and leading-edge logic: </w:t>
      </w:r>
      <w:r>
        <w:rPr>
          <w:rFonts w:ascii="Calibri" w:hAnsi="Calibri"/>
          <w:color w:val="525866"/>
          <w:sz w:val="22"/>
        </w:rPr>
        <w:t>AMAT noted that wafer start output capacity is growing at the strongest rate it has ever seen for DRAM and leading-edge logic. For DRAM specifically, ~2.3M wafer starts per month with an expected 300,000–400,000 additional wafer starts of capacity added every year. This is a direct positive read-through for Q, whose ~90% consumables portfolio is directly tied to wafer starts.</w:t>
      </w:r>
    </w:p>
    <w:p>
      <w:pPr>
        <w:pStyle w:val="ListBullet"/>
        <w:ind w:left="360" w:hanging="360"/>
      </w:pPr>
      <w:r>
        <w:rPr>
          <w:rFonts w:ascii="Calibri" w:hAnsi="Calibri"/>
          <w:b/>
          <w:color w:val="525866"/>
          <w:sz w:val="22"/>
        </w:rPr>
        <w:t xml:space="preserve">Advanced packaging growing &gt;50%, faster than overall market: </w:t>
      </w:r>
      <w:r>
        <w:rPr>
          <w:rFonts w:ascii="Calibri" w:hAnsi="Calibri"/>
          <w:color w:val="525866"/>
          <w:sz w:val="22"/>
        </w:rPr>
        <w:t>AMAT's advanced packaging business is expected to grow over 50% in 2026, reaching over $2 billion (having more than tripled from 2020–2024). AMAT described advanced packaging as a 'huge opportunity for the industry,' with the transition from 2.5D to 3D chip stacking driving demand for new materials and interconnect technologies — directly aligned with Q's ICS segment growth thesis.</w:t>
      </w:r>
    </w:p>
    <w:p>
      <w:pPr>
        <w:pStyle w:val="ListBullet"/>
        <w:ind w:left="360" w:hanging="360"/>
      </w:pPr>
      <w:r>
        <w:rPr>
          <w:rFonts w:ascii="Calibri" w:hAnsi="Calibri"/>
          <w:b/>
          <w:color w:val="525866"/>
          <w:sz w:val="22"/>
        </w:rPr>
        <w:t xml:space="preserve">HBM demand adds significantly to overall wafer demand: </w:t>
      </w:r>
      <w:r>
        <w:rPr>
          <w:rFonts w:ascii="Calibri" w:hAnsi="Calibri"/>
          <w:color w:val="525866"/>
          <w:sz w:val="22"/>
        </w:rPr>
        <w:t>HBM dies are twice the size of standard DRAM dies, requiring 3–4x more wafers to produce the same number of bits. The HBM trade ratio is moving from 3:1 to 4:1 with newer generations. Since DRAM is already at full utilization, HBM requirements only add incremental demand — a strong positive for Q's memory-exposed consumables.</w:t>
      </w:r>
    </w:p>
    <w:p>
      <w:pPr>
        <w:pStyle w:val="ListBullet"/>
        <w:ind w:left="360" w:hanging="360"/>
      </w:pPr>
      <w:r>
        <w:rPr>
          <w:rFonts w:ascii="Calibri" w:hAnsi="Calibri"/>
          <w:b/>
          <w:color w:val="525866"/>
          <w:sz w:val="22"/>
        </w:rPr>
        <w:t xml:space="preserve">Utilization rates across the ecosystem improving to 100%: </w:t>
      </w:r>
      <w:r>
        <w:rPr>
          <w:rFonts w:ascii="Calibri" w:hAnsi="Calibri"/>
          <w:color w:val="525866"/>
          <w:sz w:val="22"/>
        </w:rPr>
        <w:t>DRAM fabs have moved to 100% utilization; leading-edge logic is also going to 100% utilized; even mature nodes (ICAPS) are seeing improved utilization. High utilization directly drives consumables consumption for Q.</w:t>
      </w:r>
    </w:p>
    <w:p>
      <w:pPr>
        <w:pStyle w:val="ListBullet"/>
        <w:ind w:left="360" w:hanging="360"/>
      </w:pPr>
      <w:r>
        <w:rPr>
          <w:rFonts w:ascii="Calibri" w:hAnsi="Calibri"/>
          <w:b/>
          <w:color w:val="525866"/>
          <w:sz w:val="22"/>
        </w:rPr>
        <w:t xml:space="preserve">Demand metered only by clean room space: </w:t>
      </w:r>
      <w:r>
        <w:rPr>
          <w:rFonts w:ascii="Calibri" w:hAnsi="Calibri"/>
          <w:color w:val="525866"/>
          <w:sz w:val="22"/>
        </w:rPr>
        <w:t>The primary constraint on growth is clean room space (3–4 years to build a fab), not demand. This means near-term wafer starts are being maximized within existing capacity — a favorable backdrop for Q's consumables volumes.</w:t>
      </w:r>
    </w:p>
    <w:p>
      <w:pPr>
        <w:pStyle w:val="Heading3"/>
      </w:pPr>
      <w:r>
        <w:rPr>
          <w:rFonts w:ascii="Calibri" w:hAnsi="Calibri"/>
          <w:b/>
          <w:color w:val="3B4259"/>
          <w:sz w:val="24"/>
        </w:rPr>
        <w:t>KLA Corporation (KLAC) — Q4 FY2026 Earnings Call (July 28, 2026)</w:t>
      </w:r>
    </w:p>
    <w:p>
      <w:pPr>
        <w:pStyle w:val="ListBullet"/>
        <w:ind w:left="360" w:hanging="360"/>
      </w:pPr>
      <w:r>
        <w:rPr>
          <w:rFonts w:ascii="Calibri" w:hAnsi="Calibri"/>
          <w:b/>
          <w:color w:val="525866"/>
          <w:sz w:val="22"/>
        </w:rPr>
        <w:t xml:space="preserve">WFE market raised to low $150B range for 2026, up from $140B+: </w:t>
      </w:r>
      <w:r>
        <w:rPr>
          <w:rFonts w:ascii="Calibri" w:hAnsi="Calibri"/>
          <w:color w:val="525866"/>
          <w:sz w:val="22"/>
        </w:rPr>
        <w:t>KLA raised its expectation for the wafer equipment market (including advanced packaging) to approximately the low $150 billion range in calendar 2026, up from a prior expectation of $140B+. This represents mid-20% growth over the ~$120B 2025 level. A larger WFE market means more equipment installed, which drives more consumables consumption for Q.</w:t>
      </w:r>
    </w:p>
    <w:p>
      <w:pPr>
        <w:pStyle w:val="ListBullet"/>
        <w:ind w:left="360" w:hanging="360"/>
      </w:pPr>
      <w:r>
        <w:rPr>
          <w:rFonts w:ascii="Calibri" w:hAnsi="Calibri"/>
          <w:b/>
          <w:color w:val="525866"/>
          <w:sz w:val="22"/>
        </w:rPr>
        <w:t xml:space="preserve">Momentum accelerating through H2 2026, with ~20% H2-over-H1 growth: </w:t>
      </w:r>
      <w:r>
        <w:rPr>
          <w:rFonts w:ascii="Calibri" w:hAnsi="Calibri"/>
          <w:color w:val="525866"/>
          <w:sz w:val="22"/>
        </w:rPr>
        <w:t>KLA explicitly guided for second-half calendar 2026 growth of approximately 20% over the first half, with continued sequential growth into 2027. CEO Rick Wallace stated: 'I have very few concerns about what's going to happen in 27. It's pretty clear that the build out continues.' This H2 acceleration is a direct positive read-through for Q's Q2 and Q3 2026 revenue trajectory.</w:t>
      </w:r>
    </w:p>
    <w:p>
      <w:pPr>
        <w:pStyle w:val="ListBullet"/>
        <w:ind w:left="360" w:hanging="360"/>
      </w:pPr>
      <w:r>
        <w:rPr>
          <w:rFonts w:ascii="Calibri" w:hAnsi="Calibri"/>
          <w:b/>
          <w:color w:val="525866"/>
          <w:sz w:val="22"/>
        </w:rPr>
        <w:t xml:space="preserve">Advanced packaging process control growing &gt;70% YoY, market accelerating to mid-to-high 30s%: </w:t>
      </w:r>
      <w:r>
        <w:rPr>
          <w:rFonts w:ascii="Calibri" w:hAnsi="Calibri"/>
          <w:color w:val="525866"/>
          <w:sz w:val="22"/>
        </w:rPr>
        <w:t>KLA's advanced packaging process control systems revenue is expected to reach ~$1.1B in calendar 2026, up &gt;70% YoY. KLA noted the advanced packaging market itself has accelerated from ~20% growth at the start of the year to a mid-to-high 30s% growth rate. KLA's PCB and component inspection businesses (directly overlapping with Q's ICS segment) are projected to grow over 25% in calendar 2026.</w:t>
      </w:r>
    </w:p>
    <w:p>
      <w:pPr>
        <w:pStyle w:val="ListBullet"/>
        <w:ind w:left="360" w:hanging="360"/>
      </w:pPr>
      <w:r>
        <w:rPr>
          <w:rFonts w:ascii="Calibri" w:hAnsi="Calibri"/>
          <w:b/>
          <w:color w:val="525866"/>
          <w:sz w:val="22"/>
        </w:rPr>
        <w:t xml:space="preserve">Customers running tools at very high utilization: </w:t>
      </w:r>
      <w:r>
        <w:rPr>
          <w:rFonts w:ascii="Calibri" w:hAnsi="Calibri"/>
          <w:color w:val="525866"/>
          <w:sz w:val="22"/>
        </w:rPr>
        <w:t>KLA confirmed customers are operating tools at very high utilization rates, consistent with AMAT's commentary and supportive of Q's consumables demand.</w:t>
      </w:r>
    </w:p>
    <w:p>
      <w:pPr>
        <w:pStyle w:val="ListBullet"/>
        <w:ind w:left="360" w:hanging="360"/>
      </w:pPr>
      <w:r>
        <w:rPr>
          <w:rFonts w:ascii="Calibri" w:hAnsi="Calibri"/>
          <w:b/>
          <w:color w:val="525866"/>
          <w:sz w:val="22"/>
        </w:rPr>
        <w:t xml:space="preserve">2027 outlook: significant growth, broad-based across logic, DRAM, NAND, and advanced packaging: </w:t>
      </w:r>
      <w:r>
        <w:rPr>
          <w:rFonts w:ascii="Calibri" w:hAnsi="Calibri"/>
          <w:color w:val="525866"/>
          <w:sz w:val="22"/>
        </w:rPr>
        <w:t>KLA guided for significant growth in calendar 2027 driven by broad-based investment across leading-edge logic foundry, DRAM (conventional and HBM), NAND, and advanced packaging. Consensus view for 2027 WFE is ~$190B, implying mid-20s% growth similar to 2026.</w:t>
      </w:r>
    </w:p>
    <w:p>
      <w:pPr>
        <w:pStyle w:val="Heading3"/>
      </w:pPr>
      <w:r>
        <w:rPr>
          <w:rFonts w:ascii="Calibri" w:hAnsi="Calibri"/>
          <w:b/>
          <w:color w:val="3B4259"/>
          <w:sz w:val="24"/>
        </w:rPr>
        <w:t>Lam Research (LRCX) — Q4 FY2026 Earnings Call (July 29, 2026)</w:t>
      </w:r>
    </w:p>
    <w:p>
      <w:pPr>
        <w:pStyle w:val="ListBullet"/>
        <w:ind w:left="360" w:hanging="360"/>
      </w:pPr>
      <w:r>
        <w:rPr>
          <w:rFonts w:ascii="Calibri" w:hAnsi="Calibri"/>
          <w:b/>
          <w:color w:val="525866"/>
          <w:sz w:val="22"/>
        </w:rPr>
        <w:t xml:space="preserve">Industry undersupplied in 2026, rolling into 2027: </w:t>
      </w:r>
      <w:r>
        <w:rPr>
          <w:rFonts w:ascii="Calibri" w:hAnsi="Calibri"/>
          <w:color w:val="525866"/>
          <w:sz w:val="22"/>
        </w:rPr>
        <w:t>LRCX stated the industry is 'undersupplied this year,' a condition expected to extend into next year. This is a strong positive for Q's consumables demand, as undersupply means fabs are running at maximum capacity and consuming materials at peak rates.</w:t>
      </w:r>
    </w:p>
    <w:p>
      <w:pPr>
        <w:pStyle w:val="ListBullet"/>
        <w:ind w:left="360" w:hanging="360"/>
      </w:pPr>
      <w:r>
        <w:rPr>
          <w:rFonts w:ascii="Calibri" w:hAnsi="Calibri"/>
          <w:b/>
          <w:color w:val="525866"/>
          <w:sz w:val="22"/>
        </w:rPr>
        <w:t xml:space="preserve">WFE raised to low $150B range; 'extraordinary setup' for 2027 WFE growth: </w:t>
      </w:r>
      <w:r>
        <w:rPr>
          <w:rFonts w:ascii="Calibri" w:hAnsi="Calibri"/>
          <w:color w:val="525866"/>
          <w:sz w:val="22"/>
        </w:rPr>
        <w:t>LRCX confirmed the WFE market is now expected to be in the low $150B range for calendar 2026, up from the prior $140B+ outlook. For 2027, LRCX described an 'extraordinary setup for WFE growth,' with 8–9 new fabs coming online between now and end of 2027 that will enable reception of more equipment.</w:t>
      </w:r>
    </w:p>
    <w:p>
      <w:pPr>
        <w:pStyle w:val="ListBullet"/>
        <w:ind w:left="360" w:hanging="360"/>
      </w:pPr>
      <w:r>
        <w:rPr>
          <w:rFonts w:ascii="Calibri" w:hAnsi="Calibri"/>
          <w:b/>
          <w:color w:val="525866"/>
          <w:sz w:val="22"/>
        </w:rPr>
        <w:t xml:space="preserve">Advanced packaging growing &gt;70% YoY; panel-level packaging the next frontier: </w:t>
      </w:r>
      <w:r>
        <w:rPr>
          <w:rFonts w:ascii="Calibri" w:hAnsi="Calibri"/>
          <w:color w:val="525866"/>
          <w:sz w:val="22"/>
        </w:rPr>
        <w:t>LRCX is on track to deliver greater than 70% year-on-year growth in advanced packaging. The company highlighted that future AI packages will exceed 9x the reticle size (~3x larger than today's mainstream designs), driving the industry toward larger-format, panel-level packaging approaches. Each successive generation of advanced packaging requires more redistribution layers, denser copper interconnects, and more complex power delivery networks — all of which increase materials content per package, a direct positive for Q's ICS segment.</w:t>
      </w:r>
    </w:p>
    <w:p>
      <w:pPr>
        <w:pStyle w:val="ListBullet"/>
        <w:ind w:left="360" w:hanging="360"/>
      </w:pPr>
      <w:r>
        <w:rPr>
          <w:rFonts w:ascii="Calibri" w:hAnsi="Calibri"/>
          <w:b/>
          <w:color w:val="525866"/>
          <w:sz w:val="22"/>
        </w:rPr>
        <w:t xml:space="preserve">Mature node spending in China down sequentially, but offset by leading-edge strength: </w:t>
      </w:r>
      <w:r>
        <w:rPr>
          <w:rFonts w:ascii="Calibri" w:hAnsi="Calibri"/>
          <w:color w:val="525866"/>
          <w:sz w:val="22"/>
        </w:rPr>
        <w:t>LRCX noted mature node spending with China customers was down sequentially in the June quarter, with China declining to 26% of revenue from 34% last quarter. This is a modest negative read-through for Q's mature logic exposure, though management has previously noted Q's mature logic utilization is improving and the company has limited direct China concentration.</w:t>
      </w:r>
    </w:p>
    <w:p>
      <w:pPr>
        <w:pStyle w:val="ListBullet"/>
        <w:ind w:left="360" w:hanging="360"/>
      </w:pPr>
      <w:r>
        <w:rPr>
          <w:rFonts w:ascii="Calibri" w:hAnsi="Calibri"/>
          <w:b/>
          <w:color w:val="525866"/>
          <w:sz w:val="22"/>
        </w:rPr>
        <w:t xml:space="preserve">H2 2026 revenue guide of $8.1B represents &gt;20% QoQ growth: </w:t>
      </w:r>
      <w:r>
        <w:rPr>
          <w:rFonts w:ascii="Calibri" w:hAnsi="Calibri"/>
          <w:color w:val="525866"/>
          <w:sz w:val="22"/>
        </w:rPr>
        <w:t>LRCX's September quarter revenue guide of $8.1B (+/-$400M) represents more than 20% quarter-on-quarter growth, confirming the H2 acceleration thesis. LRCX expects 2026 to be its third consecutive year of relative outperformance to WFE.</w:t>
      </w:r>
    </w:p>
    <w:p>
      <w:pPr>
        <w:pStyle w:val="Heading3"/>
      </w:pPr>
      <w:r>
        <w:rPr>
          <w:rFonts w:ascii="Calibri" w:hAnsi="Calibri"/>
          <w:b/>
          <w:color w:val="3B4259"/>
          <w:sz w:val="24"/>
        </w:rPr>
        <w:t>Taiwan Semiconductor Manufacturing (TSM) — Q2 2026 Earnings Call (July 16, 2026)</w:t>
      </w:r>
    </w:p>
    <w:p>
      <w:pPr>
        <w:pStyle w:val="ListBullet"/>
        <w:ind w:left="360" w:hanging="360"/>
      </w:pPr>
      <w:r>
        <w:rPr>
          <w:rFonts w:ascii="Calibri" w:hAnsi="Calibri"/>
          <w:b/>
          <w:color w:val="525866"/>
          <w:sz w:val="22"/>
        </w:rPr>
        <w:t xml:space="preserve">AI demand 'extremely robust'; conviction in multi-year AI megatrend 'very high': </w:t>
      </w:r>
      <w:r>
        <w:rPr>
          <w:rFonts w:ascii="Calibri" w:hAnsi="Calibri"/>
          <w:color w:val="525866"/>
          <w:sz w:val="22"/>
        </w:rPr>
        <w:t>TSMC described AI-related demand as 'extremely robust' and stated conviction in the multi-year AI megatrend remains very high. TSMC expects demand to be 'very strong' from now until 'probably 2029, 2030.' As Q's largest end-market driver is AI/HPC-driven wafer starts, this is a direct and highly positive read-through.</w:t>
      </w:r>
    </w:p>
    <w:p>
      <w:pPr>
        <w:pStyle w:val="ListBullet"/>
        <w:ind w:left="360" w:hanging="360"/>
      </w:pPr>
      <w:r>
        <w:rPr>
          <w:rFonts w:ascii="Calibri" w:hAnsi="Calibri"/>
          <w:b/>
          <w:color w:val="525866"/>
          <w:sz w:val="22"/>
        </w:rPr>
        <w:t xml:space="preserve">Advanced packaging capacity 'so tight that now is limited by customer growth': </w:t>
      </w:r>
      <w:r>
        <w:rPr>
          <w:rFonts w:ascii="Calibri" w:hAnsi="Calibri"/>
          <w:color w:val="525866"/>
          <w:sz w:val="22"/>
        </w:rPr>
        <w:t>TSMC stated its packaging capacity is 'so tight that now is limited by customer growth,' and is working hard to shorten the gap between demand and capacity. TSMC is investing an additional $100B in Arizona for advanced packaging fabs and building 13 leading-edge and advanced packaging fabs in Taiwan. This capacity build-out directly drives demand for Q's ICS segment materials and interconnect solutions.</w:t>
      </w:r>
    </w:p>
    <w:p>
      <w:pPr>
        <w:pStyle w:val="ListBullet"/>
        <w:ind w:left="360" w:hanging="360"/>
      </w:pPr>
      <w:r>
        <w:rPr>
          <w:rFonts w:ascii="Calibri" w:hAnsi="Calibri"/>
          <w:b/>
          <w:color w:val="525866"/>
          <w:sz w:val="22"/>
        </w:rPr>
        <w:t xml:space="preserve">Wafer utilization slightly higher in Q2, contributing to gross margin expansion: </w:t>
      </w:r>
      <w:r>
        <w:rPr>
          <w:rFonts w:ascii="Calibri" w:hAnsi="Calibri"/>
          <w:color w:val="525866"/>
          <w:sz w:val="22"/>
        </w:rPr>
        <w:t>TSMC's Q2 2026 gross margin rose 150bps sequentially to 67.7%, partly due to a 'slightly higher overall capacity utilization rate.' Higher utilization at TSMC directly translates to higher consumables consumption for Q.</w:t>
      </w:r>
    </w:p>
    <w:p>
      <w:pPr>
        <w:pStyle w:val="ListBullet"/>
        <w:ind w:left="360" w:hanging="360"/>
      </w:pPr>
      <w:r>
        <w:rPr>
          <w:rFonts w:ascii="Calibri" w:hAnsi="Calibri"/>
          <w:b/>
          <w:color w:val="525866"/>
          <w:sz w:val="22"/>
        </w:rPr>
        <w:t xml:space="preserve">Demand-supply gap is 'really big'; shortage of advanced compute capabilities: </w:t>
      </w:r>
      <w:r>
        <w:rPr>
          <w:rFonts w:ascii="Calibri" w:hAnsi="Calibri"/>
          <w:color w:val="525866"/>
          <w:sz w:val="22"/>
        </w:rPr>
        <w:t>TSMC noted the gap between demand and supply is 'really big' and acknowledged a shortage of advanced compute capabilities. This structural undersupply environment is the most favorable possible backdrop for Q's consumables-driven revenue model.</w:t>
      </w:r>
    </w:p>
    <w:p>
      <w:pPr>
        <w:pStyle w:val="ListBullet"/>
        <w:ind w:left="360" w:hanging="360"/>
      </w:pPr>
      <w:r>
        <w:rPr>
          <w:rFonts w:ascii="Calibri" w:hAnsi="Calibri"/>
          <w:b/>
          <w:color w:val="525866"/>
          <w:sz w:val="22"/>
        </w:rPr>
        <w:t xml:space="preserve">Mature node demand mixed: power management ICs and CMOS image sensors strong, consumer commodity weak: </w:t>
      </w:r>
      <w:r>
        <w:rPr>
          <w:rFonts w:ascii="Calibri" w:hAnsi="Calibri"/>
          <w:color w:val="525866"/>
          <w:sz w:val="22"/>
        </w:rPr>
        <w:t>TSMC noted that outside of power management ICs and CMOS image sensors, mature node demand in commodity areas is 'not that strong,' particularly for consumer products. This is a modest nuance for Q's mature logic exposure, though management has noted Q's mature logic utilization is improving toward the low-80s range.</w:t>
      </w:r>
    </w:p>
    <w:p>
      <w:pPr>
        <w:pStyle w:val="Heading3"/>
      </w:pPr>
      <w:r>
        <w:rPr>
          <w:rFonts w:ascii="Calibri" w:hAnsi="Calibri"/>
          <w:b/>
          <w:color w:val="3B4259"/>
          <w:sz w:val="24"/>
        </w:rPr>
        <w:t>Teradyne (TER) — Q2 2026 Earnings Call (July 29, 2026)</w:t>
      </w:r>
    </w:p>
    <w:p>
      <w:pPr>
        <w:pStyle w:val="ListBullet"/>
        <w:ind w:left="360" w:hanging="360"/>
      </w:pPr>
      <w:r>
        <w:rPr>
          <w:rFonts w:ascii="Calibri" w:hAnsi="Calibri"/>
          <w:b/>
          <w:color w:val="525866"/>
          <w:sz w:val="22"/>
        </w:rPr>
        <w:t xml:space="preserve">Record revenue for second consecutive quarter, AI driving &gt;60% of total revenue: </w:t>
      </w:r>
      <w:r>
        <w:rPr>
          <w:rFonts w:ascii="Calibri" w:hAnsi="Calibri"/>
          <w:color w:val="525866"/>
          <w:sz w:val="22"/>
        </w:rPr>
        <w:t>TER delivered record revenue for the second consecutive quarter, with AI-driven revenue accounting for more than 60% of total. Total company revenue topped $1.3B, up over 100% YoY. This confirms the AI-driven demand environment that is the primary growth driver for Q's advanced packaging and semiconductor materials businesses.</w:t>
      </w:r>
    </w:p>
    <w:p>
      <w:pPr>
        <w:pStyle w:val="ListBullet"/>
        <w:ind w:left="360" w:hanging="360"/>
      </w:pPr>
      <w:r>
        <w:rPr>
          <w:rFonts w:ascii="Calibri" w:hAnsi="Calibri"/>
          <w:b/>
          <w:color w:val="525866"/>
          <w:sz w:val="22"/>
        </w:rPr>
        <w:t xml:space="preserve">Memory TAM &gt;40% larger in 2026 vs. 2025; HBM and DRAM demand robust: </w:t>
      </w:r>
      <w:r>
        <w:rPr>
          <w:rFonts w:ascii="Calibri" w:hAnsi="Calibri"/>
          <w:color w:val="525866"/>
          <w:sz w:val="22"/>
        </w:rPr>
        <w:t>TER projected the memory TAM to be more than 40% larger in 2026 than in 2025, driven by robust HBM and DRAM test solutions demand and a resurgence in NAND. HBM demand was expected to be 'significantly stronger in 2026.' This is a direct positive read-through for Q's memory-exposed consumables (Q has ~20% memory exposure).</w:t>
      </w:r>
    </w:p>
    <w:p>
      <w:pPr>
        <w:pStyle w:val="ListBullet"/>
        <w:ind w:left="360" w:hanging="360"/>
      </w:pPr>
      <w:r>
        <w:rPr>
          <w:rFonts w:ascii="Calibri" w:hAnsi="Calibri"/>
          <w:b/>
          <w:color w:val="525866"/>
          <w:sz w:val="22"/>
        </w:rPr>
        <w:t xml:space="preserve">WFE CapEx approaching $250B by end of decade; 5–10% annual growth in 300mm wafer production: </w:t>
      </w:r>
      <w:r>
        <w:rPr>
          <w:rFonts w:ascii="Calibri" w:hAnsi="Calibri"/>
          <w:color w:val="525866"/>
          <w:sz w:val="22"/>
        </w:rPr>
        <w:t>TER projected WFE CapEx to approach $250B by end of the decade, driving 5–10% annual growth in 300mm wafer production and a 15–20% CAGR in total transistor production over the mid-term. This long-term wafer start growth trajectory is the most important structural driver for Q's consumables revenue.</w:t>
      </w:r>
    </w:p>
    <w:p>
      <w:pPr>
        <w:pStyle w:val="ListBullet"/>
        <w:ind w:left="360" w:hanging="360"/>
      </w:pPr>
      <w:r>
        <w:rPr>
          <w:rFonts w:ascii="Calibri" w:hAnsi="Calibri"/>
          <w:b/>
          <w:color w:val="525866"/>
          <w:sz w:val="22"/>
        </w:rPr>
        <w:t xml:space="preserve">H2 2026 outlook strengthened; memory, auto/industrial, IST, product test, and robotics all expected to grow: </w:t>
      </w:r>
      <w:r>
        <w:rPr>
          <w:rFonts w:ascii="Calibri" w:hAnsi="Calibri"/>
          <w:color w:val="525866"/>
          <w:sz w:val="22"/>
        </w:rPr>
        <w:t>TER updated its first-half weighted revenue to 50–52% of annual revenue, indicating a stronger second half. The H2 outlook has strengthened with increased visibility and robust customer demand signals — consistent with Q's own H2 guidance posture.</w:t>
      </w:r>
    </w:p>
    <w:p>
      <w:r>
        <w:rPr>
          <w:rFonts w:ascii="Calibri" w:hAnsi="Calibri"/>
          <w:b/>
          <w:color w:val="525866"/>
          <w:sz w:val="22"/>
        </w:rPr>
        <w:t xml:space="preserve">Read-Through Summary: </w:t>
      </w:r>
      <w:r>
        <w:rPr>
          <w:rFonts w:ascii="Calibri" w:hAnsi="Calibri"/>
          <w:color w:val="525866"/>
          <w:sz w:val="22"/>
        </w:rPr>
        <w:t>The collective message from AMAT, KLAC, LRCX, TSM, and TER is unambiguously positive for Q's Q2 2026 setup: wafer starts are at record growth rates, advanced packaging is growing 50–70%+, HBM demand is intensifying, fab utilization is at or near 100%, and the H2 2026 demand environment is accelerating. The only nuance is mixed mature node demand in commodity segments (consumer electronics), which is partially offset by Q's stated exposure to premium devices and the normal seasonal increase in consumer electronics that management guided for in Q2. On balance, peer commentary represents one of the most constructive read-through environments for Q's business model in recent quarters.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term loan repricing (July 1), which reduces interest costs and signals improving financial flexibility; the Wolfe Research conference (June 12–13) reinforced the strategic narrative around the 'shrink to stack' transition and ICS re-rating thesis. No negative developments have emerged.</w:t>
      </w:r>
    </w:p>
    <w:p>
      <w:pPr>
        <w:pStyle w:val="ListBullet"/>
        <w:ind w:left="360" w:hanging="360"/>
      </w:pPr>
      <w:r>
        <w:rPr>
          <w:rFonts w:ascii="Calibri" w:hAnsi="Calibri"/>
          <w:b/>
          <w:color w:val="525866"/>
          <w:sz w:val="22"/>
        </w:rPr>
        <w:t xml:space="preserve">August 4, 2026 — Q2 2026 Earnings Release (BMO): </w:t>
      </w:r>
      <w:r>
        <w:rPr>
          <w:rFonts w:ascii="Calibri" w:hAnsi="Calibri"/>
          <w:color w:val="525866"/>
          <w:sz w:val="22"/>
        </w:rPr>
        <w:t>Qnity scheduled to report Q2 2026 results before market open. Conference call at 8:00 a.m. ET. This is the primary catalyst event.</w:t>
      </w:r>
    </w:p>
    <w:p>
      <w:pPr>
        <w:pStyle w:val="ListBullet"/>
        <w:ind w:left="360" w:hanging="360"/>
      </w:pPr>
      <w:r>
        <w:rPr>
          <w:rFonts w:ascii="Calibri" w:hAnsi="Calibri"/>
          <w:b/>
          <w:color w:val="525866"/>
          <w:sz w:val="22"/>
        </w:rPr>
        <w:t xml:space="preserve">July 1, 2026 — Term Loan Repricing (8-K): </w:t>
      </w:r>
      <w:r>
        <w:rPr>
          <w:rFonts w:ascii="Calibri" w:hAnsi="Calibri"/>
          <w:color w:val="525866"/>
          <w:sz w:val="22"/>
        </w:rPr>
        <w:t xml:space="preserve">Qnity repriced $2.338B of term loans, reducing the interest rate margin by 25bps (from SOFR+200bps to SOFR+175bps). Modest positive for interest expense and signals improving credit profile and financial flexibility post-spin. No change to other terms (maturity, covenants, security). Implication: </w:t>
      </w:r>
      <w:r>
        <w:rPr>
          <w:rFonts w:ascii="Calibri" w:hAnsi="Calibri"/>
          <w:color w:val="525866"/>
          <w:sz w:val="22"/>
        </w:rPr>
        <w:t>Small but positive for EPS and FCF; demonstrates management's proactive balance sheet management.</w:t>
      </w:r>
    </w:p>
    <w:p>
      <w:pPr>
        <w:pStyle w:val="ListBullet"/>
        <w:ind w:left="360" w:hanging="360"/>
      </w:pPr>
      <w:r>
        <w:rPr>
          <w:rFonts w:ascii="Calibri" w:hAnsi="Calibri"/>
          <w:b/>
          <w:color w:val="525866"/>
          <w:sz w:val="22"/>
        </w:rPr>
        <w:t xml:space="preserve">July 7, 2026 — Q2 2026 Earnings Date Announcement: </w:t>
      </w:r>
      <w:r>
        <w:rPr>
          <w:rFonts w:ascii="Calibri" w:hAnsi="Calibri"/>
          <w:color w:val="525866"/>
          <w:sz w:val="22"/>
        </w:rPr>
        <w:t>Qnity formally announced Q2 2026 results will be released before market open on August 4, 2026, with a conference call at 8:00 a.m. ET.</w:t>
      </w:r>
    </w:p>
    <w:p>
      <w:pPr>
        <w:pStyle w:val="ListBullet"/>
        <w:ind w:left="360" w:hanging="360"/>
      </w:pPr>
      <w:r>
        <w:rPr>
          <w:rFonts w:ascii="Calibri" w:hAnsi="Calibri"/>
          <w:b/>
          <w:color w:val="525866"/>
          <w:sz w:val="22"/>
        </w:rPr>
        <w:t xml:space="preserve">June 12–13, 2026 — Wolfe Research Materials of the Future Conference: </w:t>
      </w:r>
      <w:r>
        <w:rPr>
          <w:rFonts w:ascii="Calibri" w:hAnsi="Calibri"/>
          <w:color w:val="525866"/>
          <w:sz w:val="22"/>
        </w:rPr>
        <w:t xml:space="preserve">Management presented at the Wolfe Research conference, where they explicitly acknowledged that interconnects were historically perceived as a relatively unattractive part of the industry and framed the current moment as a structural upgrade of the ICS portfolio's strategic value, driven by the 'shrink to stack' transition (2D to 3D chip architectures). Management also noted mainstream logic utilization rates have moved from the mid-70s at end of 2025 to the upper-70s range, with some customers approaching the low-80s. Implication: </w:t>
      </w:r>
      <w:r>
        <w:rPr>
          <w:rFonts w:ascii="Calibri" w:hAnsi="Calibri"/>
          <w:color w:val="525866"/>
          <w:sz w:val="22"/>
        </w:rPr>
        <w:t>Reinforces the ICS re-rating thesis and provides incremental color on utilization improvement heading into Q2.</w:t>
      </w:r>
    </w:p>
    <w:p>
      <w:pPr>
        <w:pStyle w:val="ListBullet"/>
        <w:ind w:left="360" w:hanging="360"/>
      </w:pPr>
      <w:r>
        <w:rPr>
          <w:rFonts w:ascii="Calibri" w:hAnsi="Calibri"/>
          <w:b/>
          <w:color w:val="525866"/>
          <w:sz w:val="22"/>
        </w:rPr>
        <w:t xml:space="preserve">May 12, 2026 — Q1 2026 Earnings Beat &amp; FY2026 Guidance Raise: </w:t>
      </w:r>
      <w:r>
        <w:rPr>
          <w:rFonts w:ascii="Calibri" w:hAnsi="Calibri"/>
          <w:color w:val="525866"/>
          <w:sz w:val="22"/>
        </w:rPr>
        <w:t xml:space="preserve">Qnity reported Q1 2026 results that beat consensus on both revenue ($1.315B vs. ~$1.271B est.) and EPS ($1.076 vs. ~$0.929 est.). FY2026 guidance raised across all metrics: revenue to $5.225B–$5.375B (+5% at midpoint), EBITDA to $1.535B–$1.625B (+4%), EPS to $3.80–$4.14 (+6%), FCF to $500M–$600M (+10%). MSI growth outlook upgraded from mid-single digits to mid-to-high single digits. ICS delivered record 28.5% EBITDA margin. Implication: </w:t>
      </w:r>
      <w:r>
        <w:rPr>
          <w:rFonts w:ascii="Calibri" w:hAnsi="Calibri"/>
          <w:color w:val="525866"/>
          <w:sz w:val="22"/>
        </w:rPr>
        <w:t>Established the baseline for Q2 expectations; the magnitude of the Q1 beat set a high bar for ICS execution.</w:t>
      </w:r>
    </w:p>
    <w:p>
      <w:pPr>
        <w:pStyle w:val="ListBullet"/>
        <w:ind w:left="360" w:hanging="360"/>
      </w:pPr>
      <w:r>
        <w:rPr>
          <w:rFonts w:ascii="Calibri" w:hAnsi="Calibri"/>
          <w:b/>
          <w:color w:val="525866"/>
          <w:sz w:val="22"/>
        </w:rPr>
        <w:t xml:space="preserve">Ongoing — Leadership Vacancies (CFO &amp; Semiconductor Segment President): </w:t>
      </w:r>
      <w:r>
        <w:rPr>
          <w:rFonts w:ascii="Calibri" w:hAnsi="Calibri"/>
          <w:color w:val="525866"/>
          <w:sz w:val="22"/>
        </w:rPr>
        <w:t xml:space="preserve">Two senior leadership vacancies remain open: CFO (Matt Harbaugh stepped down due to health reasons) and Semiconductor segment president (departed post-spin). Interim CFO Mike Goss has been managing the CFO role. Management has described both searches as actively progressing with strong candidate pipelines, but no permanent appointments have been announced. Implication: </w:t>
      </w:r>
      <w:r>
        <w:rPr>
          <w:rFonts w:ascii="Calibri" w:hAnsi="Calibri"/>
          <w:color w:val="525866"/>
          <w:sz w:val="22"/>
        </w:rPr>
        <w:t>Organizational uncertainty is a modest overhang; resolution of either search would be a positive catalyst.</w:t>
      </w:r>
    </w:p>
    <w:p>
      <w:pPr>
        <w:pStyle w:val="ListBullet"/>
        <w:ind w:left="360" w:hanging="360"/>
      </w:pPr>
      <w:r>
        <w:rPr>
          <w:rFonts w:ascii="Calibri" w:hAnsi="Calibri"/>
          <w:b/>
          <w:color w:val="525866"/>
          <w:sz w:val="22"/>
        </w:rPr>
        <w:t xml:space="preserve">Ongoing — Analyst Sentiment Broadly Constructive: </w:t>
      </w:r>
      <w:r>
        <w:rPr>
          <w:rFonts w:ascii="Calibri" w:hAnsi="Calibri"/>
          <w:color w:val="525866"/>
          <w:sz w:val="22"/>
        </w:rPr>
        <w:t>Analyst consensus is 'Strong Buy' with 8 of 9 analysts at Strong Buy and 1 at Moderate Buy. Average price target of $180.75 implies ~35% upside from current levels (~$133). RBC Capital raised its price target from $118 to $133 following Q4 2025 earnings. The stock's ~21% decline since Q1 earnings has widened the gap between current price and analyst targets significantly.</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or directors since Q1 earnings. All transactions are routine director equity award grants (code A) or a single tax-withholding share surrender (code F) — nothing that signals insider conviction or concern about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Fortebuono, Kathleen M.</w:t>
            </w:r>
          </w:p>
        </w:tc>
        <w:tc>
          <w:tcPr>
            <w:tcW w:type="dxa" w:w="1440"/>
          </w:tcPr>
          <w:p>
            <w:r>
              <w:rPr>
                <w:rFonts w:ascii="Calibri" w:hAnsi="Calibri"/>
                <w:sz w:val="22"/>
              </w:rPr>
              <w:t>Chief People Officer</w:t>
            </w:r>
          </w:p>
        </w:tc>
        <w:tc>
          <w:tcPr>
            <w:tcW w:type="dxa" w:w="1440"/>
          </w:tcPr>
          <w:p>
            <w:r>
              <w:rPr>
                <w:rFonts w:ascii="Calibri" w:hAnsi="Calibri"/>
                <w:sz w:val="22"/>
              </w:rPr>
              <w:t>Share Surrender (Tax Withholding)</w:t>
            </w:r>
          </w:p>
        </w:tc>
        <w:tc>
          <w:tcPr>
            <w:tcW w:type="dxa" w:w="1440"/>
          </w:tcPr>
          <w:p>
            <w:r>
              <w:rPr>
                <w:rFonts w:ascii="Calibri" w:hAnsi="Calibri"/>
                <w:sz w:val="22"/>
              </w:rPr>
              <w:t>418 shares</w:t>
            </w:r>
          </w:p>
        </w:tc>
        <w:tc>
          <w:tcPr>
            <w:tcW w:type="dxa" w:w="1440"/>
          </w:tcPr>
          <w:p>
            <w:r>
              <w:rPr>
                <w:rFonts w:ascii="Calibri" w:hAnsi="Calibri"/>
                <w:sz w:val="22"/>
              </w:rPr>
              <w:t>Jun 12, 2026</w:t>
            </w:r>
          </w:p>
        </w:tc>
        <w:tc>
          <w:tcPr>
            <w:tcW w:type="dxa" w:w="1440"/>
          </w:tcPr>
          <w:p>
            <w:r>
              <w:rPr>
                <w:rFonts w:ascii="Calibri" w:hAnsi="Calibri"/>
                <w:sz w:val="22"/>
              </w:rPr>
              <w:t>Code F — mandatory tax withholding on vesting; not a discretionary sale</w:t>
            </w:r>
          </w:p>
        </w:tc>
      </w:tr>
      <w:tr>
        <w:tc>
          <w:tcPr>
            <w:tcW w:type="dxa" w:w="1440"/>
          </w:tcPr>
          <w:p>
            <w:r>
              <w:rPr>
                <w:rFonts w:ascii="Calibri" w:hAnsi="Calibri"/>
                <w:sz w:val="22"/>
              </w:rPr>
              <w:t>Sterin, Steven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400 shares</w:t>
            </w:r>
          </w:p>
        </w:tc>
        <w:tc>
          <w:tcPr>
            <w:tcW w:type="dxa" w:w="1440"/>
          </w:tcPr>
          <w:p>
            <w:r>
              <w:rPr>
                <w:rFonts w:ascii="Calibri" w:hAnsi="Calibri"/>
                <w:sz w:val="22"/>
              </w:rPr>
              <w:t>Jun 5, 2026</w:t>
            </w:r>
          </w:p>
        </w:tc>
        <w:tc>
          <w:tcPr>
            <w:tcW w:type="dxa" w:w="1440"/>
          </w:tcPr>
          <w:p>
            <w:r>
              <w:rPr>
                <w:rFonts w:ascii="Calibri" w:hAnsi="Calibri"/>
                <w:sz w:val="22"/>
              </w:rPr>
              <w:t>Code S — small discretionary sale by director; no 10b5-1 plan disclosed; modest size, not flagged as significant</w:t>
            </w:r>
          </w:p>
        </w:tc>
      </w:tr>
      <w:tr>
        <w:tc>
          <w:tcPr>
            <w:tcW w:type="dxa" w:w="1440"/>
          </w:tcPr>
          <w:p>
            <w:r>
              <w:rPr>
                <w:rFonts w:ascii="Calibri" w:hAnsi="Calibri"/>
                <w:sz w:val="22"/>
              </w:rPr>
              <w:t>Curtin, Terrence R.</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208 shares</w:t>
            </w:r>
          </w:p>
        </w:tc>
        <w:tc>
          <w:tcPr>
            <w:tcW w:type="dxa" w:w="1440"/>
          </w:tcPr>
          <w:p>
            <w:r>
              <w:rPr>
                <w:rFonts w:ascii="Calibri" w:hAnsi="Calibri"/>
                <w:sz w:val="22"/>
              </w:rPr>
              <w:t>May 29, 2026</w:t>
            </w:r>
          </w:p>
        </w:tc>
        <w:tc>
          <w:tcPr>
            <w:tcW w:type="dxa" w:w="1440"/>
          </w:tcPr>
          <w:p>
            <w:r>
              <w:rPr>
                <w:rFonts w:ascii="Calibri" w:hAnsi="Calibri"/>
                <w:sz w:val="22"/>
              </w:rPr>
              <w:t>Code A — routine director equity compensation grant; not a market purchase</w:t>
            </w:r>
          </w:p>
        </w:tc>
      </w:tr>
      <w:tr>
        <w:tc>
          <w:tcPr>
            <w:tcW w:type="dxa" w:w="1440"/>
          </w:tcPr>
          <w:p>
            <w:r>
              <w:rPr>
                <w:rFonts w:ascii="Calibri" w:hAnsi="Calibri"/>
                <w:sz w:val="22"/>
              </w:rPr>
              <w:t>Green, Byron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208 shares</w:t>
            </w:r>
          </w:p>
        </w:tc>
        <w:tc>
          <w:tcPr>
            <w:tcW w:type="dxa" w:w="1440"/>
          </w:tcPr>
          <w:p>
            <w:r>
              <w:rPr>
                <w:rFonts w:ascii="Calibri" w:hAnsi="Calibri"/>
                <w:sz w:val="22"/>
              </w:rPr>
              <w:t>May 29, 2026</w:t>
            </w:r>
          </w:p>
        </w:tc>
        <w:tc>
          <w:tcPr>
            <w:tcW w:type="dxa" w:w="1440"/>
          </w:tcPr>
          <w:p>
            <w:r>
              <w:rPr>
                <w:rFonts w:ascii="Calibri" w:hAnsi="Calibri"/>
                <w:sz w:val="22"/>
              </w:rPr>
              <w:t>Code A — routine director equity compensation grant</w:t>
            </w:r>
          </w:p>
        </w:tc>
      </w:tr>
      <w:tr>
        <w:tc>
          <w:tcPr>
            <w:tcW w:type="dxa" w:w="1440"/>
          </w:tcPr>
          <w:p>
            <w:r>
              <w:rPr>
                <w:rFonts w:ascii="Calibri" w:hAnsi="Calibri"/>
                <w:sz w:val="22"/>
              </w:rPr>
              <w:t>Banerji, Shumeet</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 (same amount for all directors on same date)</w:t>
            </w:r>
          </w:p>
        </w:tc>
      </w:tr>
      <w:tr>
        <w:tc>
          <w:tcPr>
            <w:tcW w:type="dxa" w:w="1440"/>
          </w:tcPr>
          <w:p>
            <w:r>
              <w:rPr>
                <w:rFonts w:ascii="Calibri" w:hAnsi="Calibri"/>
                <w:sz w:val="22"/>
              </w:rPr>
              <w:t>Blinn, Mark A.</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Curtin, Terrence R.</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De Bondt, Karin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Green, Byron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Johnson, Kristina M.</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Noonan, Anne P.</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Paik, Yi Hyon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r>
        <w:tc>
          <w:tcPr>
            <w:tcW w:type="dxa" w:w="1440"/>
          </w:tcPr>
          <w:p>
            <w:r>
              <w:rPr>
                <w:rFonts w:ascii="Calibri" w:hAnsi="Calibri"/>
                <w:sz w:val="22"/>
              </w:rPr>
              <w:t>Sterin, Steven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1,278 shares</w:t>
            </w:r>
          </w:p>
        </w:tc>
        <w:tc>
          <w:tcPr>
            <w:tcW w:type="dxa" w:w="1440"/>
          </w:tcPr>
          <w:p>
            <w:r>
              <w:rPr>
                <w:rFonts w:ascii="Calibri" w:hAnsi="Calibri"/>
                <w:sz w:val="22"/>
              </w:rPr>
              <w:t>May 21, 2026</w:t>
            </w:r>
          </w:p>
        </w:tc>
        <w:tc>
          <w:tcPr>
            <w:tcW w:type="dxa" w:w="1440"/>
          </w:tcPr>
          <w:p>
            <w:r>
              <w:rPr>
                <w:rFonts w:ascii="Calibri" w:hAnsi="Calibri"/>
                <w:sz w:val="22"/>
              </w:rPr>
              <w:t>Code A — routine annual director equity grant</w:t>
            </w:r>
          </w:p>
        </w:tc>
      </w:tr>
    </w:tbl>
    <w:p>
      <w:r>
        <w:rPr>
          <w:rFonts w:ascii="Calibri" w:hAnsi="Calibri"/>
          <w:b/>
          <w:color w:val="525866"/>
          <w:sz w:val="22"/>
        </w:rPr>
        <w:t xml:space="preserve">Assessment: </w:t>
      </w:r>
      <w:r>
        <w:rPr>
          <w:rFonts w:ascii="Calibri" w:hAnsi="Calibri"/>
          <w:color w:val="525866"/>
          <w:sz w:val="22"/>
        </w:rPr>
        <w:t xml:space="preserve">The insider transaction picture is benign. The May 21 grants are routine annual director equity compensation awards (all directors received identical 1,278-share grants on the same date), which carry no informational signal. The May 29 grants to Curtin and Green are smaller supplemental awards. The June 12 share surrender by CPO Fortebuono is a mandatory tax withholding on vesting — not a discretionary sale. The only transaction that could be considered a discretionary sale is Director Sterin's 400-share open-market sale on June 5, which is small in size relative to his 12,195-share post-transaction holding and does not represent a meaningful signal. Notably, there are </w:t>
      </w:r>
      <w:r>
        <w:rPr>
          <w:rFonts w:ascii="Calibri" w:hAnsi="Calibri"/>
          <w:b/>
          <w:color w:val="525866"/>
          <w:sz w:val="22"/>
        </w:rPr>
        <w:t>no open-market buys</w:t>
      </w:r>
      <w:r>
        <w:rPr>
          <w:rFonts w:ascii="Calibri" w:hAnsi="Calibri"/>
          <w:color w:val="525866"/>
          <w:sz w:val="22"/>
        </w:rPr>
        <w:t xml:space="preserve"> by any executive or director since the Q1 earnings date, and no 10b5-1 plan initiations disclosed. The absence of insider buying despite the ~21% stock decline since Q1 earnings is worth noting, though it is not unusual for a company this early in its post-spin lifecycle. 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