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Qnity Electronics (Q)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Qnity Electronics, Inc.</w:t>
            </w:r>
          </w:p>
        </w:tc>
      </w:tr>
      <w:tr>
        <w:tc>
          <w:tcPr>
            <w:tcW w:type="dxa" w:w="4320"/>
          </w:tcPr>
          <w:p>
            <w:r>
              <w:rPr>
                <w:rFonts w:ascii="Calibri" w:hAnsi="Calibri"/>
                <w:b/>
                <w:sz w:val="22"/>
              </w:rPr>
              <w:t>Ticker</w:t>
            </w:r>
          </w:p>
        </w:tc>
        <w:tc>
          <w:tcPr>
            <w:tcW w:type="dxa" w:w="4320"/>
          </w:tcPr>
          <w:p>
            <w:r>
              <w:rPr>
                <w:rFonts w:ascii="Calibri" w:hAnsi="Calibri"/>
                <w:sz w:val="22"/>
              </w:rPr>
              <w:t>NYSE: 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(pre-market)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after the Q1 raise, and peer commentary from Lam Research, KLA, and Teradyne all point to an accelerating semiconductor demand environment in Q2; the biggest swing factor is whether ICS advanced packaging momentum sustained its 50%+ YoY growth pace.</w:t>
      </w:r>
    </w:p>
    <w:p>
      <w:r>
        <w:rPr>
          <w:rFonts w:ascii="Calibri" w:hAnsi="Calibri"/>
          <w:color w:val="525866"/>
          <w:sz w:val="22"/>
        </w:rPr>
        <w:t xml:space="preserve">Heading into Q2 2026 results, the bar for Qnity is firm but not stretched: consensus revenue of ~$1.364B implies mid-single-digit sequential growth, exactly in line with management's own guide of "normal seasonal increase in the mid-single digits," leaving limited room for a miss but also a clear path to a beat if ICS continues to outperform. </w:t>
      </w:r>
    </w:p>
    <w:p>
      <w:r>
        <w:rPr>
          <w:rFonts w:ascii="Calibri" w:hAnsi="Calibri"/>
          <w:color w:val="525866"/>
          <w:sz w:val="22"/>
        </w:rPr>
        <w:t xml:space="preserve">Management's tone since the May 12 Q1 print has been consistently constructive — at the June 16 Wolfe Research conference, CEO Jon Kemp reiterated a "great start to the year" driven by a "surge in AI-led demand" and confirmed mainstream logic utilization has moved from the mid-70s to the upper-70s/low-80s range, a meaningful sequential improvement. </w:t>
      </w:r>
    </w:p>
    <w:p>
      <w:r>
        <w:rPr>
          <w:rFonts w:ascii="Calibri" w:hAnsi="Calibri"/>
          <w:color w:val="525866"/>
          <w:sz w:val="22"/>
        </w:rPr>
        <w:t xml:space="preserve">Estimate revisions have tracked guidance closely: the Q2 2026 consensus revenue estimate moved from ~$1.361B (as of May 19) to ~$1.364B currently, a negligible drift that suggests the Street has largely digested the Q1 raise without adding incremental optimism — a setup that historically favors upside surprises for companies with strong order books. </w:t>
      </w:r>
    </w:p>
    <w:p>
      <w:r>
        <w:rPr>
          <w:rFonts w:ascii="Calibri" w:hAnsi="Calibri"/>
          <w:color w:val="525866"/>
          <w:sz w:val="22"/>
        </w:rPr>
        <w:t xml:space="preserve">The stock has given back roughly 21% from its post-Q1 peak of ~$175 to ~$133 today, driven entirely by multiple compression (EV/EBITDA contracted from ~20.7x to ~17.5x) rather than estimate cuts, which means the stock is not pricing in a beat and any positive surprise could re-rate the multiple. </w:t>
      </w:r>
    </w:p>
    <w:p>
      <w:r>
        <w:rPr>
          <w:rFonts w:ascii="Calibri" w:hAnsi="Calibri"/>
          <w:color w:val="525866"/>
          <w:sz w:val="22"/>
        </w:rPr>
        <w:t xml:space="preserve">The key wildcard is the </w:t>
      </w:r>
      <w:r>
        <w:rPr>
          <w:rFonts w:ascii="Calibri" w:hAnsi="Calibri"/>
          <w:b/>
          <w:color w:val="525866"/>
          <w:sz w:val="22"/>
        </w:rPr>
        <w:t>pace of ICS advanced packaging revenue</w:t>
      </w:r>
      <w:r>
        <w:rPr>
          <w:rFonts w:ascii="Calibri" w:hAnsi="Calibri"/>
          <w:color w:val="525866"/>
          <w:sz w:val="22"/>
        </w:rPr>
        <w:t xml:space="preserve"> — if the 50%+ YoY growth rate in advanced packaging and thermal management sustained through Q2 (as suggested by KLA's &gt;70% advanced packaging revenue growth and Lam's &gt;70% YoY advanced packaging growth), Qnity's ICS segment could again outperform its high-single-digit sequential guide, driving a consolidated beat similar to Q1.</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manageable bar — revenue and EBITDA estimates are essentially in line with management's own Q2 guide, leaving room for upside if ICS advanced packaging sustains its Q1 momentum. Adjusted EPS is the bigger swing factor given operating leverage sensitivity.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$1,315</w:t>
            </w:r>
          </w:p>
        </w:tc>
        <w:tc>
          <w:tcPr>
            <w:tcW w:type="dxa" w:w="1234"/>
          </w:tcPr>
          <w:p>
            <w:r>
              <w:rPr>
                <w:rFonts w:ascii="Calibri" w:hAnsi="Calibri"/>
                <w:sz w:val="22"/>
              </w:rPr>
              <w:t>$1,170</w:t>
            </w:r>
          </w:p>
        </w:tc>
        <w:tc>
          <w:tcPr>
            <w:tcW w:type="dxa" w:w="1234"/>
          </w:tcPr>
          <w:p>
            <w:r>
              <w:rPr>
                <w:rFonts w:ascii="Calibri" w:hAnsi="Calibri"/>
                <w:sz w:val="22"/>
              </w:rPr>
              <w:t>$1,364</w:t>
            </w:r>
          </w:p>
        </w:tc>
        <w:tc>
          <w:tcPr>
            <w:tcW w:type="dxa" w:w="1234"/>
          </w:tcPr>
          <w:p>
            <w:r>
              <w:rPr>
                <w:rFonts w:ascii="Calibri" w:hAnsi="Calibri"/>
                <w:sz w:val="22"/>
              </w:rPr>
              <w:t>+16.6%</w:t>
            </w:r>
          </w:p>
        </w:tc>
        <w:tc>
          <w:tcPr>
            <w:tcW w:type="dxa" w:w="1234"/>
          </w:tcPr>
          <w:p>
            <w:r>
              <w:rPr>
                <w:rFonts w:ascii="Calibri" w:hAnsi="Calibri"/>
                <w:sz w:val="22"/>
              </w:rPr>
              <w:t>Mid-single-digit sequential growth from Q1 ($1,315M base → ~$1,356–1,384M implied)</w:t>
            </w:r>
          </w:p>
        </w:tc>
        <w:tc>
          <w:tcPr>
            <w:tcW w:type="dxa" w:w="1234"/>
          </w:tcPr>
          <w:p>
            <w:r>
              <w:rPr>
                <w:rFonts w:ascii="Calibri" w:hAnsi="Calibri"/>
                <w:sz w:val="22"/>
              </w:rPr>
              <w:t>~+0.6% above implied midpoint</w:t>
            </w:r>
          </w:p>
        </w:tc>
      </w:tr>
      <w:tr>
        <w:tc>
          <w:tcPr>
            <w:tcW w:type="dxa" w:w="1234"/>
          </w:tcPr>
          <w:p>
            <w:r>
              <w:rPr>
                <w:rFonts w:ascii="Calibri" w:hAnsi="Calibri"/>
                <w:sz w:val="22"/>
              </w:rPr>
              <w:t>Adj. Operating EBITDA ($M)</w:t>
            </w:r>
          </w:p>
        </w:tc>
        <w:tc>
          <w:tcPr>
            <w:tcW w:type="dxa" w:w="1234"/>
          </w:tcPr>
          <w:p>
            <w:r>
              <w:rPr>
                <w:rFonts w:ascii="Calibri" w:hAnsi="Calibri"/>
                <w:sz w:val="22"/>
              </w:rPr>
              <w:t>$411</w:t>
            </w:r>
          </w:p>
        </w:tc>
        <w:tc>
          <w:tcPr>
            <w:tcW w:type="dxa" w:w="1234"/>
          </w:tcPr>
          <w:p>
            <w:r>
              <w:rPr>
                <w:rFonts w:ascii="Calibri" w:hAnsi="Calibri"/>
                <w:sz w:val="22"/>
              </w:rPr>
              <w:t>$354</w:t>
            </w:r>
          </w:p>
        </w:tc>
        <w:tc>
          <w:tcPr>
            <w:tcW w:type="dxa" w:w="1234"/>
          </w:tcPr>
          <w:p>
            <w:r>
              <w:rPr>
                <w:rFonts w:ascii="Calibri" w:hAnsi="Calibri"/>
                <w:sz w:val="22"/>
              </w:rPr>
              <w:t>$417</w:t>
            </w:r>
          </w:p>
        </w:tc>
        <w:tc>
          <w:tcPr>
            <w:tcW w:type="dxa" w:w="1234"/>
          </w:tcPr>
          <w:p>
            <w:r>
              <w:rPr>
                <w:rFonts w:ascii="Calibri" w:hAnsi="Calibri"/>
                <w:sz w:val="22"/>
              </w:rPr>
              <w:t>+17.8%</w:t>
            </w:r>
          </w:p>
        </w:tc>
        <w:tc>
          <w:tcPr>
            <w:tcW w:type="dxa" w:w="1234"/>
          </w:tcPr>
          <w:p>
            <w:r>
              <w:rPr>
                <w:rFonts w:ascii="Calibri" w:hAnsi="Calibri"/>
                <w:sz w:val="22"/>
              </w:rPr>
              <w:t>Segment margins: Semi mid-30s%, ICS mid-to-high 20s%</w:t>
            </w:r>
          </w:p>
        </w:tc>
        <w:tc>
          <w:tcPr>
            <w:tcW w:type="dxa" w:w="1234"/>
          </w:tcPr>
          <w:p>
            <w:r>
              <w:rPr>
                <w:rFonts w:ascii="Calibri" w:hAnsi="Calibri"/>
                <w:sz w:val="22"/>
              </w:rPr>
              <w:t>N/A — no explicit EBITDA $ guide for Q2</w:t>
            </w:r>
          </w:p>
        </w:tc>
      </w:tr>
      <w:tr>
        <w:tc>
          <w:tcPr>
            <w:tcW w:type="dxa" w:w="1234"/>
          </w:tcPr>
          <w:p>
            <w:r>
              <w:rPr>
                <w:rFonts w:ascii="Calibri" w:hAnsi="Calibri"/>
                <w:sz w:val="22"/>
              </w:rPr>
              <w:t>Adj. EBITDA Margin (%)</w:t>
            </w:r>
          </w:p>
        </w:tc>
        <w:tc>
          <w:tcPr>
            <w:tcW w:type="dxa" w:w="1234"/>
          </w:tcPr>
          <w:p>
            <w:r>
              <w:rPr>
                <w:rFonts w:ascii="Calibri" w:hAnsi="Calibri"/>
                <w:sz w:val="22"/>
              </w:rPr>
              <w:t>31.3%</w:t>
            </w:r>
          </w:p>
        </w:tc>
        <w:tc>
          <w:tcPr>
            <w:tcW w:type="dxa" w:w="1234"/>
          </w:tcPr>
          <w:p>
            <w:r>
              <w:rPr>
                <w:rFonts w:ascii="Calibri" w:hAnsi="Calibri"/>
                <w:sz w:val="22"/>
              </w:rPr>
              <w:t>30.3%</w:t>
            </w:r>
          </w:p>
        </w:tc>
        <w:tc>
          <w:tcPr>
            <w:tcW w:type="dxa" w:w="1234"/>
          </w:tcPr>
          <w:p>
            <w:r>
              <w:rPr>
                <w:rFonts w:ascii="Calibri" w:hAnsi="Calibri"/>
                <w:sz w:val="22"/>
              </w:rPr>
              <w:t>30.6%</w:t>
            </w:r>
          </w:p>
        </w:tc>
        <w:tc>
          <w:tcPr>
            <w:tcW w:type="dxa" w:w="1234"/>
          </w:tcPr>
          <w:p>
            <w:r>
              <w:rPr>
                <w:rFonts w:ascii="Calibri" w:hAnsi="Calibri"/>
                <w:sz w:val="22"/>
              </w:rPr>
              <w:t>+30 bps YoY</w:t>
            </w:r>
          </w:p>
        </w:tc>
        <w:tc>
          <w:tcPr>
            <w:tcW w:type="dxa" w:w="1234"/>
          </w:tcPr>
          <w:p>
            <w:r>
              <w:rPr>
                <w:rFonts w:ascii="Calibri" w:hAnsi="Calibri"/>
                <w:sz w:val="22"/>
              </w:rPr>
              <w:t>Semi mid-30s%; ICS mid-to-high 20s%</w:t>
            </w:r>
          </w:p>
        </w:tc>
        <w:tc>
          <w:tcPr>
            <w:tcW w:type="dxa" w:w="1234"/>
          </w:tcPr>
          <w:p>
            <w:r>
              <w:rPr>
                <w:rFonts w:ascii="Calibri" w:hAnsi="Calibri"/>
                <w:sz w:val="22"/>
              </w:rPr>
              <w:t>N/A — no explicit blended margin guide</w:t>
            </w:r>
          </w:p>
        </w:tc>
      </w:tr>
      <w:tr>
        <w:tc>
          <w:tcPr>
            <w:tcW w:type="dxa" w:w="1234"/>
          </w:tcPr>
          <w:p>
            <w:r>
              <w:rPr>
                <w:rFonts w:ascii="Calibri" w:hAnsi="Calibri"/>
                <w:sz w:val="22"/>
              </w:rPr>
              <w:t>Adj. EPS - Diluted ($)</w:t>
            </w:r>
          </w:p>
        </w:tc>
        <w:tc>
          <w:tcPr>
            <w:tcW w:type="dxa" w:w="1234"/>
          </w:tcPr>
          <w:p>
            <w:r>
              <w:rPr>
                <w:rFonts w:ascii="Calibri" w:hAnsi="Calibri"/>
                <w:sz w:val="22"/>
              </w:rPr>
              <w:t>$1.08</w:t>
            </w:r>
          </w:p>
        </w:tc>
        <w:tc>
          <w:tcPr>
            <w:tcW w:type="dxa" w:w="1234"/>
          </w:tcPr>
          <w:p>
            <w:r>
              <w:rPr>
                <w:rFonts w:ascii="Calibri" w:hAnsi="Calibri"/>
                <w:sz w:val="22"/>
              </w:rPr>
              <w:t>$0.76</w:t>
            </w:r>
          </w:p>
        </w:tc>
        <w:tc>
          <w:tcPr>
            <w:tcW w:type="dxa" w:w="1234"/>
          </w:tcPr>
          <w:p>
            <w:r>
              <w:rPr>
                <w:rFonts w:ascii="Calibri" w:hAnsi="Calibri"/>
                <w:sz w:val="22"/>
              </w:rPr>
              <w:t>$1.07</w:t>
            </w:r>
          </w:p>
        </w:tc>
        <w:tc>
          <w:tcPr>
            <w:tcW w:type="dxa" w:w="1234"/>
          </w:tcPr>
          <w:p>
            <w:r>
              <w:rPr>
                <w:rFonts w:ascii="Calibri" w:hAnsi="Calibri"/>
                <w:sz w:val="22"/>
              </w:rPr>
              <w:t>+40.8%</w:t>
            </w:r>
          </w:p>
        </w:tc>
        <w:tc>
          <w:tcPr>
            <w:tcW w:type="dxa" w:w="1234"/>
          </w:tcPr>
          <w:p>
            <w:r>
              <w:rPr>
                <w:rFonts w:ascii="Calibri" w:hAnsi="Calibri"/>
                <w:sz w:val="22"/>
              </w:rPr>
              <w:t>No explicit Q2 EPS guide</w:t>
            </w:r>
          </w:p>
        </w:tc>
        <w:tc>
          <w:tcPr>
            <w:tcW w:type="dxa" w:w="1234"/>
          </w:tcPr>
          <w:p>
            <w:r>
              <w:rPr>
                <w:rFonts w:ascii="Calibri" w:hAnsi="Calibri"/>
                <w:sz w:val="22"/>
              </w:rPr>
              <w:t>N/A — no explicit Q2 EPS guide</w:t>
            </w:r>
          </w:p>
        </w:tc>
      </w:tr>
      <w:tr>
        <w:tc>
          <w:tcPr>
            <w:tcW w:type="dxa" w:w="1234"/>
          </w:tcPr>
          <w:p>
            <w:r>
              <w:rPr>
                <w:rFonts w:ascii="Calibri" w:hAnsi="Calibri"/>
                <w:sz w:val="22"/>
              </w:rPr>
              <w:t>Revenue — Semiconductor ($M)</w:t>
            </w:r>
          </w:p>
        </w:tc>
        <w:tc>
          <w:tcPr>
            <w:tcW w:type="dxa" w:w="1234"/>
          </w:tcPr>
          <w:p>
            <w:r>
              <w:rPr>
                <w:rFonts w:ascii="Calibri" w:hAnsi="Calibri"/>
                <w:sz w:val="22"/>
              </w:rPr>
              <w:t>$722</w:t>
            </w:r>
          </w:p>
        </w:tc>
        <w:tc>
          <w:tcPr>
            <w:tcW w:type="dxa" w:w="1234"/>
          </w:tcPr>
          <w:p>
            <w:r>
              <w:rPr>
                <w:rFonts w:ascii="Calibri" w:hAnsi="Calibri"/>
                <w:sz w:val="22"/>
              </w:rPr>
              <w:t>$644</w:t>
            </w:r>
          </w:p>
        </w:tc>
        <w:tc>
          <w:tcPr>
            <w:tcW w:type="dxa" w:w="1234"/>
          </w:tcPr>
          <w:p>
            <w:r>
              <w:rPr>
                <w:rFonts w:ascii="Calibri" w:hAnsi="Calibri"/>
                <w:sz w:val="22"/>
              </w:rPr>
              <w:t>$722</w:t>
            </w:r>
          </w:p>
        </w:tc>
        <w:tc>
          <w:tcPr>
            <w:tcW w:type="dxa" w:w="1234"/>
          </w:tcPr>
          <w:p>
            <w:r>
              <w:rPr>
                <w:rFonts w:ascii="Calibri" w:hAnsi="Calibri"/>
                <w:sz w:val="22"/>
              </w:rPr>
              <w:t>+12.1%</w:t>
            </w:r>
          </w:p>
        </w:tc>
        <w:tc>
          <w:tcPr>
            <w:tcW w:type="dxa" w:w="1234"/>
          </w:tcPr>
          <w:p>
            <w:r>
              <w:rPr>
                <w:rFonts w:ascii="Calibri" w:hAnsi="Calibri"/>
                <w:sz w:val="22"/>
              </w:rPr>
              <w:t>Roughly flat sequentially</w:t>
            </w:r>
          </w:p>
        </w:tc>
        <w:tc>
          <w:tcPr>
            <w:tcW w:type="dxa" w:w="1234"/>
          </w:tcPr>
          <w:p>
            <w:r>
              <w:rPr>
                <w:rFonts w:ascii="Calibri" w:hAnsi="Calibri"/>
                <w:sz w:val="22"/>
              </w:rPr>
              <w:t>~0% vs. guide midpoint</w:t>
            </w:r>
          </w:p>
        </w:tc>
      </w:tr>
      <w:tr>
        <w:tc>
          <w:tcPr>
            <w:tcW w:type="dxa" w:w="1234"/>
          </w:tcPr>
          <w:p>
            <w:r>
              <w:rPr>
                <w:rFonts w:ascii="Calibri" w:hAnsi="Calibri"/>
                <w:sz w:val="22"/>
              </w:rPr>
              <w:t>Revenue — ICS ($M)</w:t>
            </w:r>
          </w:p>
        </w:tc>
        <w:tc>
          <w:tcPr>
            <w:tcW w:type="dxa" w:w="1234"/>
          </w:tcPr>
          <w:p>
            <w:r>
              <w:rPr>
                <w:rFonts w:ascii="Calibri" w:hAnsi="Calibri"/>
                <w:sz w:val="22"/>
              </w:rPr>
              <w:t>$593</w:t>
            </w:r>
          </w:p>
        </w:tc>
        <w:tc>
          <w:tcPr>
            <w:tcW w:type="dxa" w:w="1234"/>
          </w:tcPr>
          <w:p>
            <w:r>
              <w:rPr>
                <w:rFonts w:ascii="Calibri" w:hAnsi="Calibri"/>
                <w:sz w:val="22"/>
              </w:rPr>
              <w:t>$526</w:t>
            </w:r>
          </w:p>
        </w:tc>
        <w:tc>
          <w:tcPr>
            <w:tcW w:type="dxa" w:w="1234"/>
          </w:tcPr>
          <w:p>
            <w:r>
              <w:rPr>
                <w:rFonts w:ascii="Calibri" w:hAnsi="Calibri"/>
                <w:sz w:val="22"/>
              </w:rPr>
              <w:t>$641</w:t>
            </w:r>
          </w:p>
        </w:tc>
        <w:tc>
          <w:tcPr>
            <w:tcW w:type="dxa" w:w="1234"/>
          </w:tcPr>
          <w:p>
            <w:r>
              <w:rPr>
                <w:rFonts w:ascii="Calibri" w:hAnsi="Calibri"/>
                <w:sz w:val="22"/>
              </w:rPr>
              <w:t>+21.9%</w:t>
            </w:r>
          </w:p>
        </w:tc>
        <w:tc>
          <w:tcPr>
            <w:tcW w:type="dxa" w:w="1234"/>
          </w:tcPr>
          <w:p>
            <w:r>
              <w:rPr>
                <w:rFonts w:ascii="Calibri" w:hAnsi="Calibri"/>
                <w:sz w:val="22"/>
              </w:rPr>
              <w:t>High-single-digit sequential growth</w:t>
            </w:r>
          </w:p>
        </w:tc>
        <w:tc>
          <w:tcPr>
            <w:tcW w:type="dxa" w:w="1234"/>
          </w:tcPr>
          <w:p>
            <w:r>
              <w:rPr>
                <w:rFonts w:ascii="Calibri" w:hAnsi="Calibri"/>
                <w:sz w:val="22"/>
              </w:rPr>
              <w:t>~+8.1% sequential vs. guide of high-single-digits — in line</w:t>
            </w:r>
          </w:p>
        </w:tc>
      </w:tr>
      <w:tr>
        <w:tc>
          <w:tcPr>
            <w:tcW w:type="dxa" w:w="1234"/>
          </w:tcPr>
          <w:p>
            <w:r>
              <w:rPr>
                <w:rFonts w:ascii="Calibri" w:hAnsi="Calibri"/>
                <w:sz w:val="22"/>
              </w:rPr>
              <w:t>Adj. EBITDA Margin — Semi (%)</w:t>
            </w:r>
          </w:p>
        </w:tc>
        <w:tc>
          <w:tcPr>
            <w:tcW w:type="dxa" w:w="1234"/>
          </w:tcPr>
          <w:p>
            <w:r>
              <w:rPr>
                <w:rFonts w:ascii="Calibri" w:hAnsi="Calibri"/>
                <w:sz w:val="22"/>
              </w:rPr>
              <w:t>36.4%</w:t>
            </w:r>
          </w:p>
        </w:tc>
        <w:tc>
          <w:tcPr>
            <w:tcW w:type="dxa" w:w="1234"/>
          </w:tcPr>
          <w:p>
            <w:r>
              <w:rPr>
                <w:rFonts w:ascii="Calibri" w:hAnsi="Calibri"/>
                <w:sz w:val="22"/>
              </w:rPr>
              <w:t>35.1%</w:t>
            </w:r>
          </w:p>
        </w:tc>
        <w:tc>
          <w:tcPr>
            <w:tcW w:type="dxa" w:w="1234"/>
          </w:tcPr>
          <w:p>
            <w:r>
              <w:rPr>
                <w:rFonts w:ascii="Calibri" w:hAnsi="Calibri"/>
                <w:sz w:val="22"/>
              </w:rPr>
              <w:t>35.4%</w:t>
            </w:r>
          </w:p>
        </w:tc>
        <w:tc>
          <w:tcPr>
            <w:tcW w:type="dxa" w:w="1234"/>
          </w:tcPr>
          <w:p>
            <w:r>
              <w:rPr>
                <w:rFonts w:ascii="Calibri" w:hAnsi="Calibri"/>
                <w:sz w:val="22"/>
              </w:rPr>
              <w:t>-100 bps YoY</w:t>
            </w:r>
          </w:p>
        </w:tc>
        <w:tc>
          <w:tcPr>
            <w:tcW w:type="dxa" w:w="1234"/>
          </w:tcPr>
          <w:p>
            <w:r>
              <w:rPr>
                <w:rFonts w:ascii="Calibri" w:hAnsi="Calibri"/>
                <w:sz w:val="22"/>
              </w:rPr>
              <w:t>Mid-30s%</w:t>
            </w:r>
          </w:p>
        </w:tc>
        <w:tc>
          <w:tcPr>
            <w:tcW w:type="dxa" w:w="1234"/>
          </w:tcPr>
          <w:p>
            <w:r>
              <w:rPr>
                <w:rFonts w:ascii="Calibri" w:hAnsi="Calibri"/>
                <w:sz w:val="22"/>
              </w:rPr>
              <w:t>In line with guide</w:t>
            </w:r>
          </w:p>
        </w:tc>
      </w:tr>
      <w:tr>
        <w:tc>
          <w:tcPr>
            <w:tcW w:type="dxa" w:w="1234"/>
          </w:tcPr>
          <w:p>
            <w:r>
              <w:rPr>
                <w:rFonts w:ascii="Calibri" w:hAnsi="Calibri"/>
                <w:sz w:val="22"/>
              </w:rPr>
              <w:t>Adj. EBITDA Margin — ICS (%)</w:t>
            </w:r>
          </w:p>
        </w:tc>
        <w:tc>
          <w:tcPr>
            <w:tcW w:type="dxa" w:w="1234"/>
          </w:tcPr>
          <w:p>
            <w:r>
              <w:rPr>
                <w:rFonts w:ascii="Calibri" w:hAnsi="Calibri"/>
                <w:sz w:val="22"/>
              </w:rPr>
              <w:t>28.5%</w:t>
            </w:r>
          </w:p>
        </w:tc>
        <w:tc>
          <w:tcPr>
            <w:tcW w:type="dxa" w:w="1234"/>
          </w:tcPr>
          <w:p>
            <w:r>
              <w:rPr>
                <w:rFonts w:ascii="Calibri" w:hAnsi="Calibri"/>
                <w:sz w:val="22"/>
              </w:rPr>
              <w:t>24.7%</w:t>
            </w:r>
          </w:p>
        </w:tc>
        <w:tc>
          <w:tcPr>
            <w:tcW w:type="dxa" w:w="1234"/>
          </w:tcPr>
          <w:p>
            <w:r>
              <w:rPr>
                <w:rFonts w:ascii="Calibri" w:hAnsi="Calibri"/>
                <w:sz w:val="22"/>
              </w:rPr>
              <w:t>28.0%</w:t>
            </w:r>
          </w:p>
        </w:tc>
        <w:tc>
          <w:tcPr>
            <w:tcW w:type="dxa" w:w="1234"/>
          </w:tcPr>
          <w:p>
            <w:r>
              <w:rPr>
                <w:rFonts w:ascii="Calibri" w:hAnsi="Calibri"/>
                <w:sz w:val="22"/>
              </w:rPr>
              <w:t>+330 bps YoY</w:t>
            </w:r>
          </w:p>
        </w:tc>
        <w:tc>
          <w:tcPr>
            <w:tcW w:type="dxa" w:w="1234"/>
          </w:tcPr>
          <w:p>
            <w:r>
              <w:rPr>
                <w:rFonts w:ascii="Calibri" w:hAnsi="Calibri"/>
                <w:sz w:val="22"/>
              </w:rPr>
              <w:t>Mid-to-high 20s%</w:t>
            </w:r>
          </w:p>
        </w:tc>
        <w:tc>
          <w:tcPr>
            <w:tcW w:type="dxa" w:w="1234"/>
          </w:tcPr>
          <w:p>
            <w:r>
              <w:rPr>
                <w:rFonts w:ascii="Calibri" w:hAnsi="Calibri"/>
                <w:sz w:val="22"/>
              </w:rPr>
              <w:t>In line with guide</w:t>
            </w:r>
          </w:p>
        </w:tc>
      </w:tr>
      <w:tr>
        <w:tc>
          <w:tcPr>
            <w:tcW w:type="dxa" w:w="1234"/>
          </w:tcPr>
          <w:p>
            <w:r>
              <w:rPr>
                <w:rFonts w:ascii="Calibri" w:hAnsi="Calibri"/>
                <w:sz w:val="22"/>
              </w:rPr>
              <w:t>Free Cash Flow ($M)</w:t>
            </w:r>
          </w:p>
        </w:tc>
        <w:tc>
          <w:tcPr>
            <w:tcW w:type="dxa" w:w="1234"/>
          </w:tcPr>
          <w:p>
            <w:r>
              <w:rPr>
                <w:rFonts w:ascii="Calibri" w:hAnsi="Calibri"/>
                <w:sz w:val="22"/>
              </w:rPr>
              <w:t>$28</w:t>
            </w:r>
          </w:p>
        </w:tc>
        <w:tc>
          <w:tcPr>
            <w:tcW w:type="dxa" w:w="1234"/>
          </w:tcPr>
          <w:p>
            <w:r>
              <w:rPr>
                <w:rFonts w:ascii="Calibri" w:hAnsi="Calibri"/>
                <w:sz w:val="22"/>
              </w:rPr>
              <w:t>$223</w:t>
            </w:r>
          </w:p>
        </w:tc>
        <w:tc>
          <w:tcPr>
            <w:tcW w:type="dxa" w:w="1234"/>
          </w:tcPr>
          <w:p>
            <w:r>
              <w:rPr>
                <w:rFonts w:ascii="Calibri" w:hAnsi="Calibri"/>
                <w:sz w:val="22"/>
              </w:rPr>
              <w:t>$100</w:t>
            </w:r>
          </w:p>
        </w:tc>
        <w:tc>
          <w:tcPr>
            <w:tcW w:type="dxa" w:w="1234"/>
          </w:tcPr>
          <w:p>
            <w:r>
              <w:rPr>
                <w:rFonts w:ascii="Calibri" w:hAnsi="Calibri"/>
                <w:sz w:val="22"/>
              </w:rPr>
              <w:t>-55.2%</w:t>
            </w:r>
          </w:p>
        </w:tc>
        <w:tc>
          <w:tcPr>
            <w:tcW w:type="dxa" w:w="1234"/>
          </w:tcPr>
          <w:p>
            <w:r>
              <w:rPr>
                <w:rFonts w:ascii="Calibri" w:hAnsi="Calibri"/>
                <w:sz w:val="22"/>
              </w:rPr>
              <w:t>FY2026: $500–$600M (full year guide)</w:t>
            </w:r>
          </w:p>
        </w:tc>
        <w:tc>
          <w:tcPr>
            <w:tcW w:type="dxa" w:w="1234"/>
          </w:tcPr>
          <w:p>
            <w:r>
              <w:rPr>
                <w:rFonts w:ascii="Calibri" w:hAnsi="Calibri"/>
                <w:sz w:val="22"/>
              </w:rPr>
              <w:t>N/A — no explicit Q2 FCF guide</w:t>
            </w:r>
          </w:p>
        </w:tc>
      </w:tr>
    </w:tbl>
    <w:p>
      <w:r>
        <w:rPr>
          <w:rFonts w:ascii="Calibri" w:hAnsi="Calibri"/>
          <w:b/>
          <w:color w:val="525866"/>
          <w:sz w:val="22"/>
        </w:rPr>
        <w:t xml:space="preserve">Sources: </w:t>
      </w:r>
      <w:r>
        <w:rPr>
          <w:rFonts w:ascii="Calibri" w:hAnsi="Calibri"/>
          <w:color w:val="525866"/>
          <w:sz w:val="22"/>
        </w:rPr>
        <w:t>All consensus estimates from Visible Alpha. Actuals from Visible Alpha and Q1 2026 Earnings Release (May 12, 2026). Q2 2026 guidance from Q1 2026 Earnings Call transcript (May 12, 2026). Note: Q2 2025 EBITDA actual of $354M and margin of 30.3% derived from Visible Alpha actuals.</w:t>
      </w:r>
    </w:p>
    <w:p>
      <w:pPr>
        <w:pStyle w:val="Heading3"/>
      </w:pPr>
      <w:r>
        <w:rPr>
          <w:rFonts w:ascii="Calibri" w:hAnsi="Calibri"/>
          <w:b/>
          <w:color w:val="3B4259"/>
          <w:sz w:val="24"/>
        </w:rPr>
        <w:t>Table 2 — Beat/Miss History (Last 8 Quarters, Top 2 KPIs: Total Revenue &amp; Adj. Operating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$1,315</w:t>
            </w:r>
          </w:p>
        </w:tc>
        <w:tc>
          <w:tcPr>
            <w:tcW w:type="dxa" w:w="1440"/>
          </w:tcPr>
          <w:p>
            <w:r>
              <w:rPr>
                <w:rFonts w:ascii="Calibri" w:hAnsi="Calibri"/>
                <w:sz w:val="22"/>
              </w:rPr>
              <w:t>$1,271</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 ($M)</w:t>
            </w:r>
          </w:p>
        </w:tc>
        <w:tc>
          <w:tcPr>
            <w:tcW w:type="dxa" w:w="1440"/>
          </w:tcPr>
          <w:p>
            <w:r>
              <w:rPr>
                <w:rFonts w:ascii="Calibri" w:hAnsi="Calibri"/>
                <w:sz w:val="22"/>
              </w:rPr>
              <w:t>$411</w:t>
            </w:r>
          </w:p>
        </w:tc>
        <w:tc>
          <w:tcPr>
            <w:tcW w:type="dxa" w:w="1440"/>
          </w:tcPr>
          <w:p>
            <w:r>
              <w:rPr>
                <w:rFonts w:ascii="Calibri" w:hAnsi="Calibri"/>
                <w:sz w:val="22"/>
              </w:rPr>
              <w:t>$377</w:t>
            </w:r>
          </w:p>
        </w:tc>
        <w:tc>
          <w:tcPr>
            <w:tcW w:type="dxa" w:w="1440"/>
          </w:tcPr>
          <w:p>
            <w:r>
              <w:rPr>
                <w:rFonts w:ascii="Calibri" w:hAnsi="Calibri"/>
                <w:b/>
                <w:color w:val="30A46C"/>
                <w:sz w:val="22"/>
              </w:rPr>
              <w:t>+9.0%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$1,190</w:t>
            </w:r>
          </w:p>
        </w:tc>
        <w:tc>
          <w:tcPr>
            <w:tcW w:type="dxa" w:w="1440"/>
          </w:tcPr>
          <w:p>
            <w:r>
              <w:rPr>
                <w:rFonts w:ascii="Calibri" w:hAnsi="Calibri"/>
                <w:sz w:val="22"/>
              </w:rPr>
              <w:t>$1,152</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w:t>
            </w:r>
          </w:p>
        </w:tc>
        <w:tc>
          <w:tcPr>
            <w:tcW w:type="dxa" w:w="1440"/>
          </w:tcPr>
          <w:p>
            <w:r>
              <w:rPr>
                <w:rFonts w:ascii="Calibri" w:hAnsi="Calibri"/>
                <w:sz w:val="22"/>
              </w:rPr>
              <w:t>$349</w:t>
            </w:r>
          </w:p>
        </w:tc>
        <w:tc>
          <w:tcPr>
            <w:tcW w:type="dxa" w:w="1440"/>
          </w:tcPr>
          <w:p>
            <w:r>
              <w:rPr>
                <w:rFonts w:ascii="Calibri" w:hAnsi="Calibri"/>
                <w:sz w:val="22"/>
              </w:rPr>
              <w:t>$346</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$1,276</w:t>
            </w:r>
          </w:p>
        </w:tc>
        <w:tc>
          <w:tcPr>
            <w:tcW w:type="dxa" w:w="1440"/>
          </w:tcPr>
          <w:p>
            <w:r>
              <w:rPr>
                <w:rFonts w:ascii="Calibri" w:hAnsi="Calibri"/>
                <w:sz w:val="22"/>
              </w:rPr>
              <w:t>$1,185</w:t>
            </w:r>
          </w:p>
        </w:tc>
        <w:tc>
          <w:tcPr>
            <w:tcW w:type="dxa" w:w="1440"/>
          </w:tcPr>
          <w:p>
            <w:r>
              <w:rPr>
                <w:rFonts w:ascii="Calibri" w:hAnsi="Calibri"/>
                <w:b/>
                <w:color w:val="30A46C"/>
                <w:sz w:val="22"/>
              </w:rPr>
              <w:t>+7.7%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 ($M)</w:t>
            </w:r>
          </w:p>
        </w:tc>
        <w:tc>
          <w:tcPr>
            <w:tcW w:type="dxa" w:w="1440"/>
          </w:tcPr>
          <w:p>
            <w:r>
              <w:rPr>
                <w:rFonts w:ascii="Calibri" w:hAnsi="Calibri"/>
                <w:sz w:val="22"/>
              </w:rPr>
              <w:t>$370</w:t>
            </w:r>
          </w:p>
        </w:tc>
        <w:tc>
          <w:tcPr>
            <w:tcW w:type="dxa" w:w="1440"/>
          </w:tcPr>
          <w:p>
            <w:r>
              <w:rPr>
                <w:rFonts w:ascii="Calibri" w:hAnsi="Calibri"/>
                <w:sz w:val="22"/>
              </w:rPr>
              <w:t>$339</w:t>
            </w:r>
          </w:p>
        </w:tc>
        <w:tc>
          <w:tcPr>
            <w:tcW w:type="dxa" w:w="1440"/>
          </w:tcPr>
          <w:p>
            <w:r>
              <w:rPr>
                <w:rFonts w:ascii="Calibri" w:hAnsi="Calibri"/>
                <w:b/>
                <w:color w:val="30A46C"/>
                <w:sz w:val="22"/>
              </w:rPr>
              <w:t>+9.1%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$1,170</w:t>
            </w:r>
          </w:p>
        </w:tc>
        <w:tc>
          <w:tcPr>
            <w:tcW w:type="dxa" w:w="1440"/>
          </w:tcPr>
          <w:p>
            <w:r>
              <w:rPr>
                <w:rFonts w:ascii="Calibri" w:hAnsi="Calibri"/>
                <w:sz w:val="22"/>
              </w:rPr>
              <w:t>N/A — pre-spin</w:t>
            </w:r>
          </w:p>
        </w:tc>
        <w:tc>
          <w:tcPr>
            <w:tcW w:type="dxa" w:w="1440"/>
          </w:tcPr>
          <w:p>
            <w:r>
              <w:rPr>
                <w:rFonts w:ascii="Calibri" w:hAnsi="Calibri"/>
                <w:sz w:val="22"/>
              </w:rPr>
              <w:t>N/A</w:t>
            </w:r>
          </w:p>
        </w:tc>
        <w:tc>
          <w:tcPr>
            <w:tcW w:type="dxa" w:w="1440"/>
          </w:tcPr>
          <w:p>
            <w:r>
              <w:rPr>
                <w:rFonts w:ascii="Calibri" w:hAnsi="Calibri"/>
                <w:sz w:val="22"/>
              </w:rPr>
              <w:t>N/A — pre-spin</w:t>
            </w:r>
          </w:p>
        </w:tc>
      </w:tr>
      <w:tr>
        <w:tc>
          <w:tcPr>
            <w:tcW w:type="dxa" w:w="1440"/>
          </w:tcPr>
          <w:p>
            <w:r>
              <w:rPr>
                <w:rFonts w:ascii="Calibri" w:hAnsi="Calibri"/>
                <w:sz w:val="22"/>
              </w:rPr>
              <w:t>Q2 2025</w:t>
            </w:r>
          </w:p>
        </w:tc>
        <w:tc>
          <w:tcPr>
            <w:tcW w:type="dxa" w:w="1440"/>
          </w:tcPr>
          <w:p>
            <w:r>
              <w:rPr>
                <w:rFonts w:ascii="Calibri" w:hAnsi="Calibri"/>
                <w:sz w:val="22"/>
              </w:rPr>
              <w:t>Adj. EBITDA ($M)</w:t>
            </w:r>
          </w:p>
        </w:tc>
        <w:tc>
          <w:tcPr>
            <w:tcW w:type="dxa" w:w="1440"/>
          </w:tcPr>
          <w:p>
            <w:r>
              <w:rPr>
                <w:rFonts w:ascii="Calibri" w:hAnsi="Calibri"/>
                <w:sz w:val="22"/>
              </w:rPr>
              <w:t>$354</w:t>
            </w:r>
          </w:p>
        </w:tc>
        <w:tc>
          <w:tcPr>
            <w:tcW w:type="dxa" w:w="1440"/>
          </w:tcPr>
          <w:p>
            <w:r>
              <w:rPr>
                <w:rFonts w:ascii="Calibri" w:hAnsi="Calibri"/>
                <w:sz w:val="22"/>
              </w:rPr>
              <w:t>N/A — pre-spin</w:t>
            </w:r>
          </w:p>
        </w:tc>
        <w:tc>
          <w:tcPr>
            <w:tcW w:type="dxa" w:w="1440"/>
          </w:tcPr>
          <w:p>
            <w:r>
              <w:rPr>
                <w:rFonts w:ascii="Calibri" w:hAnsi="Calibri"/>
                <w:sz w:val="22"/>
              </w:rPr>
              <w:t>N/A</w:t>
            </w:r>
          </w:p>
        </w:tc>
        <w:tc>
          <w:tcPr>
            <w:tcW w:type="dxa" w:w="1440"/>
          </w:tcPr>
          <w:p>
            <w:r>
              <w:rPr>
                <w:rFonts w:ascii="Calibri" w:hAnsi="Calibri"/>
                <w:sz w:val="22"/>
              </w:rPr>
              <w:t>N/A — pre-spin</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$1,118</w:t>
            </w:r>
          </w:p>
        </w:tc>
        <w:tc>
          <w:tcPr>
            <w:tcW w:type="dxa" w:w="1440"/>
          </w:tcPr>
          <w:p>
            <w:r>
              <w:rPr>
                <w:rFonts w:ascii="Calibri" w:hAnsi="Calibri"/>
                <w:sz w:val="22"/>
              </w:rPr>
              <w:t>N/A — pre-spin</w:t>
            </w:r>
          </w:p>
        </w:tc>
        <w:tc>
          <w:tcPr>
            <w:tcW w:type="dxa" w:w="1440"/>
          </w:tcPr>
          <w:p>
            <w:r>
              <w:rPr>
                <w:rFonts w:ascii="Calibri" w:hAnsi="Calibri"/>
                <w:sz w:val="22"/>
              </w:rPr>
              <w:t>N/A</w:t>
            </w:r>
          </w:p>
        </w:tc>
        <w:tc>
          <w:tcPr>
            <w:tcW w:type="dxa" w:w="1440"/>
          </w:tcPr>
          <w:p>
            <w:r>
              <w:rPr>
                <w:rFonts w:ascii="Calibri" w:hAnsi="Calibri"/>
                <w:sz w:val="22"/>
              </w:rPr>
              <w:t>N/A — pre-spin</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$1,101</w:t>
            </w:r>
          </w:p>
        </w:tc>
        <w:tc>
          <w:tcPr>
            <w:tcW w:type="dxa" w:w="1440"/>
          </w:tcPr>
          <w:p>
            <w:r>
              <w:rPr>
                <w:rFonts w:ascii="Calibri" w:hAnsi="Calibri"/>
                <w:sz w:val="22"/>
              </w:rPr>
              <w:t>N/A — pre-spin</w:t>
            </w:r>
          </w:p>
        </w:tc>
        <w:tc>
          <w:tcPr>
            <w:tcW w:type="dxa" w:w="1440"/>
          </w:tcPr>
          <w:p>
            <w:r>
              <w:rPr>
                <w:rFonts w:ascii="Calibri" w:hAnsi="Calibri"/>
                <w:sz w:val="22"/>
              </w:rPr>
              <w:t>N/A</w:t>
            </w:r>
          </w:p>
        </w:tc>
        <w:tc>
          <w:tcPr>
            <w:tcW w:type="dxa" w:w="1440"/>
          </w:tcPr>
          <w:p>
            <w:r>
              <w:rPr>
                <w:rFonts w:ascii="Calibri" w:hAnsi="Calibri"/>
                <w:sz w:val="22"/>
              </w:rPr>
              <w:t>N/A — pre-spin</w:t>
            </w:r>
          </w:p>
        </w:tc>
      </w:tr>
    </w:tbl>
    <w:p>
      <w:r>
        <w:rPr>
          <w:rFonts w:ascii="Calibri" w:hAnsi="Calibri"/>
          <w:b/>
          <w:color w:val="525866"/>
          <w:sz w:val="22"/>
        </w:rPr>
        <w:t xml:space="preserve">Pattern: </w:t>
      </w:r>
      <w:r>
        <w:rPr>
          <w:rFonts w:ascii="Calibri" w:hAnsi="Calibri"/>
          <w:color w:val="525866"/>
          <w:sz w:val="22"/>
        </w:rPr>
        <w:t>Qnity has beaten consensus on both revenue and EBITDA in every quarter since its November 2025 spin-off (Q3 2025, Q4 2025, Q1 2026), with EBITDA beats consistently larger than revenue beats, suggesting strong operating leverage. Pre-spin quarters lack standalone consensus data.</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across all metrics at Q1 earnings (May 12) and reiterated a constructive tone at the Wolfe Research conference (June 16) — no further formal guidance changes since Q1, but qualitative commentary has been incrementally positive on mainstream logic recovery and ICS capacity.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2026)</w:t>
            </w:r>
          </w:p>
        </w:tc>
        <w:tc>
          <w:tcPr>
            <w:tcW w:type="dxa" w:w="1728"/>
            <w:shd w:val="clear" w:color="auto" w:fill="3B4259"/>
          </w:tcPr>
          <w:p>
            <w:r>
              <w:rPr>
                <w:rFonts w:ascii="Calibri" w:hAnsi="Calibri"/>
                <w:b/>
                <w:color w:val="FFFFFF"/>
                <w:sz w:val="22"/>
              </w:rPr>
              <w:t>Revised Guidance (Q1 2026 Earnings, May 12,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 ($B)</w:t>
            </w:r>
          </w:p>
        </w:tc>
        <w:tc>
          <w:tcPr>
            <w:tcW w:type="dxa" w:w="1728"/>
          </w:tcPr>
          <w:p>
            <w:r>
              <w:rPr>
                <w:rFonts w:ascii="Calibri" w:hAnsi="Calibri"/>
                <w:sz w:val="22"/>
              </w:rPr>
              <w:t>$5.0–$5.2B</w:t>
            </w:r>
          </w:p>
        </w:tc>
        <w:tc>
          <w:tcPr>
            <w:tcW w:type="dxa" w:w="1728"/>
          </w:tcPr>
          <w:p>
            <w:r>
              <w:rPr>
                <w:rFonts w:ascii="Calibri" w:hAnsi="Calibri"/>
                <w:sz w:val="22"/>
              </w:rPr>
              <w:t>$5.225–$5.375B (+5% at midpoint)</w:t>
            </w:r>
          </w:p>
        </w:tc>
        <w:tc>
          <w:tcPr>
            <w:tcW w:type="dxa" w:w="1728"/>
          </w:tcPr>
          <w:p>
            <w:r>
              <w:rPr>
                <w:rFonts w:ascii="Calibri" w:hAnsi="Calibri"/>
                <w:sz w:val="22"/>
              </w:rPr>
              <w:t>$5.415B</w:t>
            </w:r>
          </w:p>
        </w:tc>
        <w:tc>
          <w:tcPr>
            <w:tcW w:type="dxa" w:w="1728"/>
          </w:tcPr>
          <w:p>
            <w:r>
              <w:rPr>
                <w:rFonts w:ascii="Calibri" w:hAnsi="Calibri"/>
                <w:sz w:val="22"/>
              </w:rPr>
              <w:t>↑ Raised at Q1 2026 earnings; driven by strong ICS beat and upgraded MSI outlook. Consensus sits above raised midpoint of $5.30B.</w:t>
            </w:r>
          </w:p>
        </w:tc>
      </w:tr>
      <w:tr>
        <w:tc>
          <w:tcPr>
            <w:tcW w:type="dxa" w:w="1728"/>
          </w:tcPr>
          <w:p>
            <w:r>
              <w:rPr>
                <w:rFonts w:ascii="Calibri" w:hAnsi="Calibri"/>
                <w:sz w:val="22"/>
              </w:rPr>
              <w:t>FY2026 Adj. Operating EBITDA ($B)</w:t>
            </w:r>
          </w:p>
        </w:tc>
        <w:tc>
          <w:tcPr>
            <w:tcW w:type="dxa" w:w="1728"/>
          </w:tcPr>
          <w:p>
            <w:r>
              <w:rPr>
                <w:rFonts w:ascii="Calibri" w:hAnsi="Calibri"/>
                <w:sz w:val="22"/>
              </w:rPr>
              <w:t>$1.475–$1.565B</w:t>
            </w:r>
          </w:p>
        </w:tc>
        <w:tc>
          <w:tcPr>
            <w:tcW w:type="dxa" w:w="1728"/>
          </w:tcPr>
          <w:p>
            <w:r>
              <w:rPr>
                <w:rFonts w:ascii="Calibri" w:hAnsi="Calibri"/>
                <w:sz w:val="22"/>
              </w:rPr>
              <w:t>$1.535–$1.625B (+4% at midpoint)</w:t>
            </w:r>
          </w:p>
        </w:tc>
        <w:tc>
          <w:tcPr>
            <w:tcW w:type="dxa" w:w="1728"/>
          </w:tcPr>
          <w:p>
            <w:r>
              <w:rPr>
                <w:rFonts w:ascii="Calibri" w:hAnsi="Calibri"/>
                <w:sz w:val="22"/>
              </w:rPr>
              <w:t>$1.631B</w:t>
            </w:r>
          </w:p>
        </w:tc>
        <w:tc>
          <w:tcPr>
            <w:tcW w:type="dxa" w:w="1728"/>
          </w:tcPr>
          <w:p>
            <w:r>
              <w:rPr>
                <w:rFonts w:ascii="Calibri" w:hAnsi="Calibri"/>
                <w:sz w:val="22"/>
              </w:rPr>
              <w:t>↑ Raised at Q1 2026 earnings; consensus above raised midpoint of $1.580B, implying Street expects further upside.</w:t>
            </w:r>
          </w:p>
        </w:tc>
      </w:tr>
      <w:tr>
        <w:tc>
          <w:tcPr>
            <w:tcW w:type="dxa" w:w="1728"/>
          </w:tcPr>
          <w:p>
            <w:r>
              <w:rPr>
                <w:rFonts w:ascii="Calibri" w:hAnsi="Calibri"/>
                <w:sz w:val="22"/>
              </w:rPr>
              <w:t>FY2026 Adj. EPS</w:t>
            </w:r>
          </w:p>
        </w:tc>
        <w:tc>
          <w:tcPr>
            <w:tcW w:type="dxa" w:w="1728"/>
          </w:tcPr>
          <w:p>
            <w:r>
              <w:rPr>
                <w:rFonts w:ascii="Calibri" w:hAnsi="Calibri"/>
                <w:sz w:val="22"/>
              </w:rPr>
              <w:t>$3.55–$3.95</w:t>
            </w:r>
          </w:p>
        </w:tc>
        <w:tc>
          <w:tcPr>
            <w:tcW w:type="dxa" w:w="1728"/>
          </w:tcPr>
          <w:p>
            <w:r>
              <w:rPr>
                <w:rFonts w:ascii="Calibri" w:hAnsi="Calibri"/>
                <w:sz w:val="22"/>
              </w:rPr>
              <w:t>$3.80–$4.14 (+6% at midpoint)</w:t>
            </w:r>
          </w:p>
        </w:tc>
        <w:tc>
          <w:tcPr>
            <w:tcW w:type="dxa" w:w="1728"/>
          </w:tcPr>
          <w:p>
            <w:r>
              <w:rPr>
                <w:rFonts w:ascii="Calibri" w:hAnsi="Calibri"/>
                <w:sz w:val="22"/>
              </w:rPr>
              <w:t>$4.18</w:t>
            </w:r>
          </w:p>
        </w:tc>
        <w:tc>
          <w:tcPr>
            <w:tcW w:type="dxa" w:w="1728"/>
          </w:tcPr>
          <w:p>
            <w:r>
              <w:rPr>
                <w:rFonts w:ascii="Calibri" w:hAnsi="Calibri"/>
                <w:sz w:val="22"/>
              </w:rPr>
              <w:t>↑ Raised at Q1 2026 earnings; consensus of $4.18 above raised midpoint of $3.97, suggesting Street is modeling above the top of the range.</w:t>
            </w:r>
          </w:p>
        </w:tc>
      </w:tr>
      <w:tr>
        <w:tc>
          <w:tcPr>
            <w:tcW w:type="dxa" w:w="1728"/>
          </w:tcPr>
          <w:p>
            <w:r>
              <w:rPr>
                <w:rFonts w:ascii="Calibri" w:hAnsi="Calibri"/>
                <w:sz w:val="22"/>
              </w:rPr>
              <w:t>FY2026 Adj. Free Cash Flow ($M)</w:t>
            </w:r>
          </w:p>
        </w:tc>
        <w:tc>
          <w:tcPr>
            <w:tcW w:type="dxa" w:w="1728"/>
          </w:tcPr>
          <w:p>
            <w:r>
              <w:rPr>
                <w:rFonts w:ascii="Calibri" w:hAnsi="Calibri"/>
                <w:sz w:val="22"/>
              </w:rPr>
              <w:t>$455–$545M</w:t>
            </w:r>
          </w:p>
        </w:tc>
        <w:tc>
          <w:tcPr>
            <w:tcW w:type="dxa" w:w="1728"/>
          </w:tcPr>
          <w:p>
            <w:r>
              <w:rPr>
                <w:rFonts w:ascii="Calibri" w:hAnsi="Calibri"/>
                <w:sz w:val="22"/>
              </w:rPr>
              <w:t>$500–$600M (+10% at midpoint)</w:t>
            </w:r>
          </w:p>
        </w:tc>
        <w:tc>
          <w:tcPr>
            <w:tcW w:type="dxa" w:w="1728"/>
          </w:tcPr>
          <w:p>
            <w:r>
              <w:rPr>
                <w:rFonts w:ascii="Calibri" w:hAnsi="Calibri"/>
                <w:sz w:val="22"/>
              </w:rPr>
              <w:t>$479M</w:t>
            </w:r>
          </w:p>
        </w:tc>
        <w:tc>
          <w:tcPr>
            <w:tcW w:type="dxa" w:w="1728"/>
          </w:tcPr>
          <w:p>
            <w:r>
              <w:rPr>
                <w:rFonts w:ascii="Calibri" w:hAnsi="Calibri"/>
                <w:sz w:val="22"/>
              </w:rPr>
              <w:t>↑ Raised at Q1 2026 earnings; consensus below raised midpoint of $550M, reflecting elevated CapEx (~9% of sales) uncertainty.</w:t>
            </w:r>
          </w:p>
        </w:tc>
      </w:tr>
      <w:tr>
        <w:tc>
          <w:tcPr>
            <w:tcW w:type="dxa" w:w="1728"/>
          </w:tcPr>
          <w:p>
            <w:r>
              <w:rPr>
                <w:rFonts w:ascii="Calibri" w:hAnsi="Calibri"/>
                <w:sz w:val="22"/>
              </w:rPr>
              <w:t>FY2026 MSI Wafer Start Growth</w:t>
            </w:r>
          </w:p>
        </w:tc>
        <w:tc>
          <w:tcPr>
            <w:tcW w:type="dxa" w:w="1728"/>
          </w:tcPr>
          <w:p>
            <w:r>
              <w:rPr>
                <w:rFonts w:ascii="Calibri" w:hAnsi="Calibri"/>
                <w:sz w:val="22"/>
              </w:rPr>
              <w:t>Mid-single digits</w:t>
            </w:r>
          </w:p>
        </w:tc>
        <w:tc>
          <w:tcPr>
            <w:tcW w:type="dxa" w:w="1728"/>
          </w:tcPr>
          <w:p>
            <w:r>
              <w:rPr>
                <w:rFonts w:ascii="Calibri" w:hAnsi="Calibri"/>
                <w:sz w:val="22"/>
              </w:rPr>
              <w:t>Mid-to-high single digits</w:t>
            </w:r>
          </w:p>
        </w:tc>
        <w:tc>
          <w:tcPr>
            <w:tcW w:type="dxa" w:w="1728"/>
          </w:tcPr>
          <w:p>
            <w:r>
              <w:rPr>
                <w:rFonts w:ascii="Calibri" w:hAnsi="Calibri"/>
                <w:sz w:val="22"/>
              </w:rPr>
              <w:t>N/A — not in VA</w:t>
            </w:r>
          </w:p>
        </w:tc>
        <w:tc>
          <w:tcPr>
            <w:tcW w:type="dxa" w:w="1728"/>
          </w:tcPr>
          <w:p>
            <w:r>
              <w:rPr>
                <w:rFonts w:ascii="Calibri" w:hAnsi="Calibri"/>
                <w:sz w:val="22"/>
              </w:rPr>
              <w:t>↑ Upgraded at Q1 2026 earnings; management noted "room to do even better" if conditions improve. Wolfe conference (Jun 16) reiterated steady improvement in mainstream logic utilization.</w:t>
            </w:r>
          </w:p>
        </w:tc>
      </w:tr>
      <w:tr>
        <w:tc>
          <w:tcPr>
            <w:tcW w:type="dxa" w:w="1728"/>
          </w:tcPr>
          <w:p>
            <w:r>
              <w:rPr>
                <w:rFonts w:ascii="Calibri" w:hAnsi="Calibri"/>
                <w:sz w:val="22"/>
              </w:rPr>
              <w:t>Q2 2026 Revenue (Sequential Growth)</w:t>
            </w:r>
          </w:p>
        </w:tc>
        <w:tc>
          <w:tcPr>
            <w:tcW w:type="dxa" w:w="1728"/>
          </w:tcPr>
          <w:p>
            <w:r>
              <w:rPr>
                <w:rFonts w:ascii="Calibri" w:hAnsi="Calibri"/>
                <w:sz w:val="22"/>
              </w:rPr>
              <w:t>N/A — not guided at Q4</w:t>
            </w:r>
          </w:p>
        </w:tc>
        <w:tc>
          <w:tcPr>
            <w:tcW w:type="dxa" w:w="1728"/>
          </w:tcPr>
          <w:p>
            <w:r>
              <w:rPr>
                <w:rFonts w:ascii="Calibri" w:hAnsi="Calibri"/>
                <w:sz w:val="22"/>
              </w:rPr>
              <w:t>Mid-single-digit sequential growth</w:t>
            </w:r>
          </w:p>
        </w:tc>
        <w:tc>
          <w:tcPr>
            <w:tcW w:type="dxa" w:w="1728"/>
          </w:tcPr>
          <w:p>
            <w:r>
              <w:rPr>
                <w:rFonts w:ascii="Calibri" w:hAnsi="Calibri"/>
                <w:sz w:val="22"/>
              </w:rPr>
              <w:t>$1,364M (+3.7% seq.)</w:t>
            </w:r>
          </w:p>
        </w:tc>
        <w:tc>
          <w:tcPr>
            <w:tcW w:type="dxa" w:w="1728"/>
          </w:tcPr>
          <w:p>
            <w:r>
              <w:rPr>
                <w:rFonts w:ascii="Calibri" w:hAnsi="Calibri"/>
                <w:sz w:val="22"/>
              </w:rPr>
              <w:t>Consensus in line with guide. Semi roughly flat; ICS high-single-digit sequential growth.</w:t>
            </w:r>
          </w:p>
        </w:tc>
      </w:tr>
      <w:tr>
        <w:tc>
          <w:tcPr>
            <w:tcW w:type="dxa" w:w="1728"/>
          </w:tcPr>
          <w:p>
            <w:r>
              <w:rPr>
                <w:rFonts w:ascii="Calibri" w:hAnsi="Calibri"/>
                <w:sz w:val="22"/>
              </w:rPr>
              <w:t>Q2 2026 Semi Margin</w:t>
            </w:r>
          </w:p>
        </w:tc>
        <w:tc>
          <w:tcPr>
            <w:tcW w:type="dxa" w:w="1728"/>
          </w:tcPr>
          <w:p>
            <w:r>
              <w:rPr>
                <w:rFonts w:ascii="Calibri" w:hAnsi="Calibri"/>
                <w:sz w:val="22"/>
              </w:rPr>
              <w:t>N/A</w:t>
            </w:r>
          </w:p>
        </w:tc>
        <w:tc>
          <w:tcPr>
            <w:tcW w:type="dxa" w:w="1728"/>
          </w:tcPr>
          <w:p>
            <w:r>
              <w:rPr>
                <w:rFonts w:ascii="Calibri" w:hAnsi="Calibri"/>
                <w:sz w:val="22"/>
              </w:rPr>
              <w:t>Mid-30s%</w:t>
            </w:r>
          </w:p>
        </w:tc>
        <w:tc>
          <w:tcPr>
            <w:tcW w:type="dxa" w:w="1728"/>
          </w:tcPr>
          <w:p>
            <w:r>
              <w:rPr>
                <w:rFonts w:ascii="Calibri" w:hAnsi="Calibri"/>
                <w:sz w:val="22"/>
              </w:rPr>
              <w:t>35.4%</w:t>
            </w:r>
          </w:p>
        </w:tc>
        <w:tc>
          <w:tcPr>
            <w:tcW w:type="dxa" w:w="1728"/>
          </w:tcPr>
          <w:p>
            <w:r>
              <w:rPr>
                <w:rFonts w:ascii="Calibri" w:hAnsi="Calibri"/>
                <w:sz w:val="22"/>
              </w:rPr>
              <w:t>Consensus in line with guide.</w:t>
            </w:r>
          </w:p>
        </w:tc>
      </w:tr>
      <w:tr>
        <w:tc>
          <w:tcPr>
            <w:tcW w:type="dxa" w:w="1728"/>
          </w:tcPr>
          <w:p>
            <w:r>
              <w:rPr>
                <w:rFonts w:ascii="Calibri" w:hAnsi="Calibri"/>
                <w:sz w:val="22"/>
              </w:rPr>
              <w:t>Q2 2026 ICS Margin</w:t>
            </w:r>
          </w:p>
        </w:tc>
        <w:tc>
          <w:tcPr>
            <w:tcW w:type="dxa" w:w="1728"/>
          </w:tcPr>
          <w:p>
            <w:r>
              <w:rPr>
                <w:rFonts w:ascii="Calibri" w:hAnsi="Calibri"/>
                <w:sz w:val="22"/>
              </w:rPr>
              <w:t>N/A</w:t>
            </w:r>
          </w:p>
        </w:tc>
        <w:tc>
          <w:tcPr>
            <w:tcW w:type="dxa" w:w="1728"/>
          </w:tcPr>
          <w:p>
            <w:r>
              <w:rPr>
                <w:rFonts w:ascii="Calibri" w:hAnsi="Calibri"/>
                <w:sz w:val="22"/>
              </w:rPr>
              <w:t>Mid-to-high 20s%</w:t>
            </w:r>
          </w:p>
        </w:tc>
        <w:tc>
          <w:tcPr>
            <w:tcW w:type="dxa" w:w="1728"/>
          </w:tcPr>
          <w:p>
            <w:r>
              <w:rPr>
                <w:rFonts w:ascii="Calibri" w:hAnsi="Calibri"/>
                <w:sz w:val="22"/>
              </w:rPr>
              <w:t>28.0%</w:t>
            </w:r>
          </w:p>
        </w:tc>
        <w:tc>
          <w:tcPr>
            <w:tcW w:type="dxa" w:w="1728"/>
          </w:tcPr>
          <w:p>
            <w:r>
              <w:rPr>
                <w:rFonts w:ascii="Calibri" w:hAnsi="Calibri"/>
                <w:sz w:val="22"/>
              </w:rPr>
              <w:t>Consensus in line with guide; Q1 actual of 28.5% was a record, suggesting potential for continued upside.</w:t>
            </w:r>
          </w:p>
        </w:tc>
      </w:tr>
    </w:tbl>
    <w:p>
      <w:r>
        <w:rPr>
          <w:rFonts w:ascii="Calibri" w:hAnsi="Calibri"/>
          <w:b/>
          <w:color w:val="525866"/>
          <w:sz w:val="22"/>
        </w:rPr>
        <w:t xml:space="preserve">Sources: </w:t>
      </w:r>
      <w:r>
        <w:rPr>
          <w:rFonts w:ascii="Calibri" w:hAnsi="Calibri"/>
          <w:color w:val="525866"/>
          <w:sz w:val="22"/>
        </w:rPr>
        <w:t>Initial guidance from Q4 2025 Earnings Release (Feb 2026). Revised guidance from Q1 2026 Earnings Call transcript (May 12, 2026) and Q1 2026 Earnings Release. Wolfe Research conference commentary (June 16, 2026). Consensus from Visible Alpha.</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closely since the Q1 raise, with consensus for both Q2 2026 and FY2026 sitting modestly above the raised guidance midpoints — a constructive setup that implies the Street is already modeling slight outperformance, but not aggressively so. The gap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19,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Earnings)</w:t>
            </w:r>
          </w:p>
        </w:tc>
        <w:tc>
          <w:tcPr>
            <w:tcW w:type="dxa" w:w="1080"/>
            <w:shd w:val="clear" w:color="auto" w:fill="3B4259"/>
          </w:tcPr>
          <w:p>
            <w:r>
              <w:rPr>
                <w:rFonts w:ascii="Calibri" w:hAnsi="Calibri"/>
                <w:b/>
                <w:color w:val="FFFFFF"/>
                <w:sz w:val="22"/>
              </w:rPr>
              <w:t>Current Guidance (Q1 2026 Earnings)</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Midpoint</w:t>
            </w:r>
          </w:p>
        </w:tc>
      </w:tr>
      <w:tr>
        <w:tc>
          <w:tcPr>
            <w:tcW w:type="dxa" w:w="1080"/>
          </w:tcPr>
          <w:p>
            <w:r>
              <w:rPr>
                <w:rFonts w:ascii="Calibri" w:hAnsi="Calibri"/>
                <w:sz w:val="22"/>
              </w:rPr>
              <w:t>Total Revenue — Q2 2026</w:t>
            </w:r>
          </w:p>
        </w:tc>
        <w:tc>
          <w:tcPr>
            <w:tcW w:type="dxa" w:w="1080"/>
          </w:tcPr>
          <w:p>
            <w:r>
              <w:rPr>
                <w:rFonts w:ascii="Calibri" w:hAnsi="Calibri"/>
                <w:sz w:val="22"/>
              </w:rPr>
              <w:t>$1,361M</w:t>
            </w:r>
          </w:p>
        </w:tc>
        <w:tc>
          <w:tcPr>
            <w:tcW w:type="dxa" w:w="1080"/>
          </w:tcPr>
          <w:p>
            <w:r>
              <w:rPr>
                <w:rFonts w:ascii="Calibri" w:hAnsi="Calibri"/>
                <w:sz w:val="22"/>
              </w:rPr>
              <w:t>$1,364M</w:t>
            </w:r>
          </w:p>
        </w:tc>
        <w:tc>
          <w:tcPr>
            <w:tcW w:type="dxa" w:w="1080"/>
          </w:tcPr>
          <w:p>
            <w:r>
              <w:rPr>
                <w:rFonts w:ascii="Calibri" w:hAnsi="Calibri"/>
                <w:sz w:val="22"/>
              </w:rPr>
              <w:t>+0.2%</w:t>
            </w:r>
          </w:p>
        </w:tc>
        <w:tc>
          <w:tcPr>
            <w:tcW w:type="dxa" w:w="1080"/>
          </w:tcPr>
          <w:p>
            <w:r>
              <w:rPr>
                <w:rFonts w:ascii="Calibri" w:hAnsi="Calibri"/>
                <w:sz w:val="22"/>
              </w:rPr>
              <w:t>N/A (no Q2 guide at Q4)</w:t>
            </w:r>
          </w:p>
        </w:tc>
        <w:tc>
          <w:tcPr>
            <w:tcW w:type="dxa" w:w="1080"/>
          </w:tcPr>
          <w:p>
            <w:r>
              <w:rPr>
                <w:rFonts w:ascii="Calibri" w:hAnsi="Calibri"/>
                <w:sz w:val="22"/>
              </w:rPr>
              <w:t>Mid-single-digit seq. growth (~$1,356–1,384M implied)</w:t>
            </w:r>
          </w:p>
        </w:tc>
        <w:tc>
          <w:tcPr>
            <w:tcW w:type="dxa" w:w="1080"/>
          </w:tcPr>
          <w:p>
            <w:r>
              <w:rPr>
                <w:rFonts w:ascii="Calibri" w:hAnsi="Calibri"/>
                <w:sz w:val="22"/>
              </w:rPr>
              <w:t>N/A</w:t>
            </w:r>
          </w:p>
        </w:tc>
        <w:tc>
          <w:tcPr>
            <w:tcW w:type="dxa" w:w="1080"/>
          </w:tcPr>
          <w:p>
            <w:r>
              <w:rPr>
                <w:rFonts w:ascii="Calibri" w:hAnsi="Calibri"/>
                <w:sz w:val="22"/>
              </w:rPr>
              <w:t>~+0.6% above implied midpoint</w:t>
            </w:r>
          </w:p>
        </w:tc>
      </w:tr>
      <w:tr>
        <w:tc>
          <w:tcPr>
            <w:tcW w:type="dxa" w:w="1080"/>
          </w:tcPr>
          <w:p>
            <w:r>
              <w:rPr>
                <w:rFonts w:ascii="Calibri" w:hAnsi="Calibri"/>
                <w:sz w:val="22"/>
              </w:rPr>
              <w:t>Adj. Operating EBITDA — Q2 2026</w:t>
            </w:r>
          </w:p>
        </w:tc>
        <w:tc>
          <w:tcPr>
            <w:tcW w:type="dxa" w:w="1080"/>
          </w:tcPr>
          <w:p>
            <w:r>
              <w:rPr>
                <w:rFonts w:ascii="Calibri" w:hAnsi="Calibri"/>
                <w:sz w:val="22"/>
              </w:rPr>
              <w:t>$414M</w:t>
            </w:r>
          </w:p>
        </w:tc>
        <w:tc>
          <w:tcPr>
            <w:tcW w:type="dxa" w:w="1080"/>
          </w:tcPr>
          <w:p>
            <w:r>
              <w:rPr>
                <w:rFonts w:ascii="Calibri" w:hAnsi="Calibri"/>
                <w:sz w:val="22"/>
              </w:rPr>
              <w:t>$417M</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No explicit Q2 EBITDA $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$1.061</w:t>
            </w:r>
          </w:p>
        </w:tc>
        <w:tc>
          <w:tcPr>
            <w:tcW w:type="dxa" w:w="1080"/>
          </w:tcPr>
          <w:p>
            <w:r>
              <w:rPr>
                <w:rFonts w:ascii="Calibri" w:hAnsi="Calibri"/>
                <w:sz w:val="22"/>
              </w:rPr>
              <w:t>$1.074</w:t>
            </w:r>
          </w:p>
        </w:tc>
        <w:tc>
          <w:tcPr>
            <w:tcW w:type="dxa" w:w="1080"/>
          </w:tcPr>
          <w:p>
            <w:r>
              <w:rPr>
                <w:rFonts w:ascii="Calibri" w:hAnsi="Calibri"/>
                <w:sz w:val="22"/>
              </w:rPr>
              <w:t>+1.2%</w:t>
            </w:r>
          </w:p>
        </w:tc>
        <w:tc>
          <w:tcPr>
            <w:tcW w:type="dxa" w:w="1080"/>
          </w:tcPr>
          <w:p>
            <w:r>
              <w:rPr>
                <w:rFonts w:ascii="Calibri" w:hAnsi="Calibri"/>
                <w:sz w:val="22"/>
              </w:rPr>
              <w:t>N/A</w:t>
            </w:r>
          </w:p>
        </w:tc>
        <w:tc>
          <w:tcPr>
            <w:tcW w:type="dxa" w:w="1080"/>
          </w:tcPr>
          <w:p>
            <w:r>
              <w:rPr>
                <w:rFonts w:ascii="Calibri" w:hAnsi="Calibri"/>
                <w:sz w:val="22"/>
              </w:rPr>
              <w:t>No explicit Q2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$5,377M</w:t>
            </w:r>
          </w:p>
        </w:tc>
        <w:tc>
          <w:tcPr>
            <w:tcW w:type="dxa" w:w="1080"/>
          </w:tcPr>
          <w:p>
            <w:r>
              <w:rPr>
                <w:rFonts w:ascii="Calibri" w:hAnsi="Calibri"/>
                <w:sz w:val="22"/>
              </w:rPr>
              <w:t>$5,415M</w:t>
            </w:r>
          </w:p>
        </w:tc>
        <w:tc>
          <w:tcPr>
            <w:tcW w:type="dxa" w:w="1080"/>
          </w:tcPr>
          <w:p>
            <w:r>
              <w:rPr>
                <w:rFonts w:ascii="Calibri" w:hAnsi="Calibri"/>
                <w:sz w:val="22"/>
              </w:rPr>
              <w:t>+0.7%</w:t>
            </w:r>
          </w:p>
        </w:tc>
        <w:tc>
          <w:tcPr>
            <w:tcW w:type="dxa" w:w="1080"/>
          </w:tcPr>
          <w:p>
            <w:r>
              <w:rPr>
                <w:rFonts w:ascii="Calibri" w:hAnsi="Calibri"/>
                <w:sz w:val="22"/>
              </w:rPr>
              <w:t>$5.0–$5.2B (midpoint $5.1B)</w:t>
            </w:r>
          </w:p>
        </w:tc>
        <w:tc>
          <w:tcPr>
            <w:tcW w:type="dxa" w:w="1080"/>
          </w:tcPr>
          <w:p>
            <w:r>
              <w:rPr>
                <w:rFonts w:ascii="Calibri" w:hAnsi="Calibri"/>
                <w:sz w:val="22"/>
              </w:rPr>
              <w:t>$5.225–$5.375B (midpoint $5.30B)</w:t>
            </w:r>
          </w:p>
        </w:tc>
        <w:tc>
          <w:tcPr>
            <w:tcW w:type="dxa" w:w="1080"/>
          </w:tcPr>
          <w:p>
            <w:r>
              <w:rPr>
                <w:rFonts w:ascii="Calibri" w:hAnsi="Calibri"/>
                <w:sz w:val="22"/>
              </w:rPr>
              <w:t>+3.9% at midpoint</w:t>
            </w:r>
          </w:p>
        </w:tc>
        <w:tc>
          <w:tcPr>
            <w:tcW w:type="dxa" w:w="1080"/>
          </w:tcPr>
          <w:p>
            <w:r>
              <w:rPr>
                <w:rFonts w:ascii="Calibri" w:hAnsi="Calibri"/>
                <w:sz w:val="22"/>
              </w:rPr>
              <w:t>+2.2% above raised midpoint</w:t>
            </w:r>
          </w:p>
        </w:tc>
      </w:tr>
      <w:tr>
        <w:tc>
          <w:tcPr>
            <w:tcW w:type="dxa" w:w="1080"/>
          </w:tcPr>
          <w:p>
            <w:r>
              <w:rPr>
                <w:rFonts w:ascii="Calibri" w:hAnsi="Calibri"/>
                <w:sz w:val="22"/>
              </w:rPr>
              <w:t>Adj. Operating EBITDA — FY2026</w:t>
            </w:r>
          </w:p>
        </w:tc>
        <w:tc>
          <w:tcPr>
            <w:tcW w:type="dxa" w:w="1080"/>
          </w:tcPr>
          <w:p>
            <w:r>
              <w:rPr>
                <w:rFonts w:ascii="Calibri" w:hAnsi="Calibri"/>
                <w:sz w:val="22"/>
              </w:rPr>
              <w:t>$1,612M</w:t>
            </w:r>
          </w:p>
        </w:tc>
        <w:tc>
          <w:tcPr>
            <w:tcW w:type="dxa" w:w="1080"/>
          </w:tcPr>
          <w:p>
            <w:r>
              <w:rPr>
                <w:rFonts w:ascii="Calibri" w:hAnsi="Calibri"/>
                <w:sz w:val="22"/>
              </w:rPr>
              <w:t>$1,631M</w:t>
            </w:r>
          </w:p>
        </w:tc>
        <w:tc>
          <w:tcPr>
            <w:tcW w:type="dxa" w:w="1080"/>
          </w:tcPr>
          <w:p>
            <w:r>
              <w:rPr>
                <w:rFonts w:ascii="Calibri" w:hAnsi="Calibri"/>
                <w:sz w:val="22"/>
              </w:rPr>
              <w:t>+1.2%</w:t>
            </w:r>
          </w:p>
        </w:tc>
        <w:tc>
          <w:tcPr>
            <w:tcW w:type="dxa" w:w="1080"/>
          </w:tcPr>
          <w:p>
            <w:r>
              <w:rPr>
                <w:rFonts w:ascii="Calibri" w:hAnsi="Calibri"/>
                <w:sz w:val="22"/>
              </w:rPr>
              <w:t>$1.475–$1.565B (midpoint $1.52B)</w:t>
            </w:r>
          </w:p>
        </w:tc>
        <w:tc>
          <w:tcPr>
            <w:tcW w:type="dxa" w:w="1080"/>
          </w:tcPr>
          <w:p>
            <w:r>
              <w:rPr>
                <w:rFonts w:ascii="Calibri" w:hAnsi="Calibri"/>
                <w:sz w:val="22"/>
              </w:rPr>
              <w:t>$1.535–$1.625B (midpoint $1.58B)</w:t>
            </w:r>
          </w:p>
        </w:tc>
        <w:tc>
          <w:tcPr>
            <w:tcW w:type="dxa" w:w="1080"/>
          </w:tcPr>
          <w:p>
            <w:r>
              <w:rPr>
                <w:rFonts w:ascii="Calibri" w:hAnsi="Calibri"/>
                <w:sz w:val="22"/>
              </w:rPr>
              <w:t>+3.9% at midpoint</w:t>
            </w:r>
          </w:p>
        </w:tc>
        <w:tc>
          <w:tcPr>
            <w:tcW w:type="dxa" w:w="1080"/>
          </w:tcPr>
          <w:p>
            <w:r>
              <w:rPr>
                <w:rFonts w:ascii="Calibri" w:hAnsi="Calibri"/>
                <w:sz w:val="22"/>
              </w:rPr>
              <w:t>+3.2% above raised midpoint</w:t>
            </w:r>
          </w:p>
        </w:tc>
      </w:tr>
      <w:tr>
        <w:tc>
          <w:tcPr>
            <w:tcW w:type="dxa" w:w="1080"/>
          </w:tcPr>
          <w:p>
            <w:r>
              <w:rPr>
                <w:rFonts w:ascii="Calibri" w:hAnsi="Calibri"/>
                <w:sz w:val="22"/>
              </w:rPr>
              <w:t>Adj. EPS — FY2026</w:t>
            </w:r>
          </w:p>
        </w:tc>
        <w:tc>
          <w:tcPr>
            <w:tcW w:type="dxa" w:w="1080"/>
          </w:tcPr>
          <w:p>
            <w:r>
              <w:rPr>
                <w:rFonts w:ascii="Calibri" w:hAnsi="Calibri"/>
                <w:sz w:val="22"/>
              </w:rPr>
              <w:t>$4.108</w:t>
            </w:r>
          </w:p>
        </w:tc>
        <w:tc>
          <w:tcPr>
            <w:tcW w:type="dxa" w:w="1080"/>
          </w:tcPr>
          <w:p>
            <w:r>
              <w:rPr>
                <w:rFonts w:ascii="Calibri" w:hAnsi="Calibri"/>
                <w:sz w:val="22"/>
              </w:rPr>
              <w:t>$4.184</w:t>
            </w:r>
          </w:p>
        </w:tc>
        <w:tc>
          <w:tcPr>
            <w:tcW w:type="dxa" w:w="1080"/>
          </w:tcPr>
          <w:p>
            <w:r>
              <w:rPr>
                <w:rFonts w:ascii="Calibri" w:hAnsi="Calibri"/>
                <w:sz w:val="22"/>
              </w:rPr>
              <w:t>+1.9%</w:t>
            </w:r>
          </w:p>
        </w:tc>
        <w:tc>
          <w:tcPr>
            <w:tcW w:type="dxa" w:w="1080"/>
          </w:tcPr>
          <w:p>
            <w:r>
              <w:rPr>
                <w:rFonts w:ascii="Calibri" w:hAnsi="Calibri"/>
                <w:sz w:val="22"/>
              </w:rPr>
              <w:t>$3.55–$3.95 (midpoint $3.75)</w:t>
            </w:r>
          </w:p>
        </w:tc>
        <w:tc>
          <w:tcPr>
            <w:tcW w:type="dxa" w:w="1080"/>
          </w:tcPr>
          <w:p>
            <w:r>
              <w:rPr>
                <w:rFonts w:ascii="Calibri" w:hAnsi="Calibri"/>
                <w:sz w:val="22"/>
              </w:rPr>
              <w:t>$3.80–$4.14 (midpoint $3.97)</w:t>
            </w:r>
          </w:p>
        </w:tc>
        <w:tc>
          <w:tcPr>
            <w:tcW w:type="dxa" w:w="1080"/>
          </w:tcPr>
          <w:p>
            <w:r>
              <w:rPr>
                <w:rFonts w:ascii="Calibri" w:hAnsi="Calibri"/>
                <w:sz w:val="22"/>
              </w:rPr>
              <w:t>+5.9% at midpoint</w:t>
            </w:r>
          </w:p>
        </w:tc>
        <w:tc>
          <w:tcPr>
            <w:tcW w:type="dxa" w:w="1080"/>
          </w:tcPr>
          <w:p>
            <w:r>
              <w:rPr>
                <w:rFonts w:ascii="Calibri" w:hAnsi="Calibri"/>
                <w:sz w:val="22"/>
              </w:rPr>
              <w:t>+5.4% above raised midpoint</w:t>
            </w:r>
          </w:p>
        </w:tc>
      </w:tr>
    </w:tbl>
    <w:p>
      <w:r>
        <w:rPr>
          <w:rFonts w:ascii="Calibri" w:hAnsi="Calibri"/>
          <w:color w:val="525866"/>
          <w:sz w:val="22"/>
        </w:rPr>
        <w:t>Estimates have been remarkably stable since the Q1 raise, drifting only +0.2% to +1.9% higher across all KPIs — suggesting the Street has absorbed the guidance raise without adding speculative premium. The FY2026 consensus sitting 2–5% above the raised guidance midpoints reflects a reasonable expectation of continued outperformance, consistent with Qnity's track record of beating its own guidance in every quarter since spin-off.</w:t>
      </w:r>
    </w:p>
    <w:p>
      <w:r>
        <w:rPr>
          <w:rFonts w:ascii="Calibri" w:hAnsi="Calibri"/>
          <w:b/>
          <w:color w:val="525866"/>
          <w:sz w:val="22"/>
        </w:rPr>
        <w:t xml:space="preserve">Sources: </w:t>
      </w:r>
      <w:r>
        <w:rPr>
          <w:rFonts w:ascii="Calibri" w:hAnsi="Calibri"/>
          <w:color w:val="525866"/>
          <w:sz w:val="22"/>
        </w:rPr>
        <w:t>Visible Alpha consensus data (as of May 19, 2026 and August 3, 2026). Guidance from Q4 2025 Earnings Release and Q1 2026 Earnings Call (May 12,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The stock's +38.6% six-month gain was driven by multiple expansion on the back of the Q4 2025 guidance raise, but the subsequent -21% pullback from the June peak has been entirely multiple compression — estimates have barely moved, meaning the stock is now cheaper on fundamentals than it was at the Q1 print.</w:t>
      </w:r>
    </w:p>
    <w:p>
      <w:r>
        <w:rPr>
          <w:rFonts w:ascii="Calibri" w:hAnsi="Calibri"/>
          <w:color w:val="525866"/>
          <w:sz w:val="22"/>
        </w:rPr>
        <w:t>Since the Q1 2026 earnings date (May 12, 2026), Q has underperformed both the PHLX Semiconductor Index (SOXX) and the S&amp;P 500. The stock opened at $153.24 on May 11 (pre-earnings), surged to $168.36 on May 12 (earnings day, +9.9%), then trended lower through the summer, closing at $133.30 on August 4, 2026 — a net decline of approximately -20.8% from the earnings-day close. Over the same period, SOXX declined from $515.99 to $507.68 (-1.6%) and SPY rose from $738.18 to $757.67 (+2.6%), making Q a significant underperformer since the Q1 print.</w:t>
      </w:r>
    </w:p>
    <w:p>
      <w:pPr>
        <w:pStyle w:val="Heading3"/>
      </w:pPr>
      <w:r>
        <w:rPr>
          <w:rFonts w:ascii="Calibri" w:hAnsi="Calibri"/>
          <w:b/>
          <w:color w:val="3B4259"/>
          <w:sz w:val="24"/>
        </w:rPr>
        <w:t>Indexed Performance Since Q1 2026 Earnings (May 12,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Q (Indexed)</w:t>
            </w:r>
          </w:p>
        </w:tc>
        <w:tc>
          <w:tcPr>
            <w:tcW w:type="dxa" w:w="1728"/>
            <w:shd w:val="clear" w:color="auto" w:fill="3B4259"/>
          </w:tcPr>
          <w:p>
            <w:r>
              <w:rPr>
                <w:rFonts w:ascii="Calibri" w:hAnsi="Calibri"/>
                <w:b/>
                <w:color w:val="FFFFFF"/>
                <w:sz w:val="22"/>
              </w:rPr>
              <w:t>SOXX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12,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 Beat &amp; Raise</w:t>
            </w:r>
          </w:p>
        </w:tc>
      </w:tr>
      <w:tr>
        <w:tc>
          <w:tcPr>
            <w:tcW w:type="dxa" w:w="1728"/>
          </w:tcPr>
          <w:p>
            <w:r>
              <w:rPr>
                <w:rFonts w:ascii="Calibri" w:hAnsi="Calibri"/>
                <w:sz w:val="22"/>
              </w:rPr>
              <w:t>May 22, 2026</w:t>
            </w:r>
          </w:p>
        </w:tc>
        <w:tc>
          <w:tcPr>
            <w:tcW w:type="dxa" w:w="1728"/>
          </w:tcPr>
          <w:p>
            <w:r>
              <w:rPr>
                <w:rFonts w:ascii="Calibri" w:hAnsi="Calibri"/>
                <w:sz w:val="22"/>
              </w:rPr>
              <w:t>93.2</w:t>
            </w:r>
          </w:p>
        </w:tc>
        <w:tc>
          <w:tcPr>
            <w:tcW w:type="dxa" w:w="1728"/>
          </w:tcPr>
          <w:p>
            <w:r>
              <w:rPr>
                <w:rFonts w:ascii="Calibri" w:hAnsi="Calibri"/>
                <w:sz w:val="22"/>
              </w:rPr>
              <w:t>104.1</w:t>
            </w:r>
          </w:p>
        </w:tc>
        <w:tc>
          <w:tcPr>
            <w:tcW w:type="dxa" w:w="1728"/>
          </w:tcPr>
          <w:p>
            <w:r>
              <w:rPr>
                <w:rFonts w:ascii="Calibri" w:hAnsi="Calibri"/>
                <w:sz w:val="22"/>
              </w:rPr>
              <w:t>101.0</w:t>
            </w:r>
          </w:p>
        </w:tc>
        <w:tc>
          <w:tcPr>
            <w:tcW w:type="dxa" w:w="1728"/>
          </w:tcPr>
          <w:p>
            <w:r>
              <w:rPr>
                <w:rFonts w:ascii="Calibri" w:hAnsi="Calibri"/>
                <w:sz w:val="22"/>
              </w:rPr>
              <w:t>—</w:t>
            </w:r>
          </w:p>
        </w:tc>
      </w:tr>
      <w:tr>
        <w:tc>
          <w:tcPr>
            <w:tcW w:type="dxa" w:w="1728"/>
          </w:tcPr>
          <w:p>
            <w:r>
              <w:rPr>
                <w:rFonts w:ascii="Calibri" w:hAnsi="Calibri"/>
                <w:sz w:val="22"/>
              </w:rPr>
              <w:t>Jun 1, 2026</w:t>
            </w:r>
          </w:p>
        </w:tc>
        <w:tc>
          <w:tcPr>
            <w:tcW w:type="dxa" w:w="1728"/>
          </w:tcPr>
          <w:p>
            <w:r>
              <w:rPr>
                <w:rFonts w:ascii="Calibri" w:hAnsi="Calibri"/>
                <w:sz w:val="22"/>
              </w:rPr>
              <w:t>90.2</w:t>
            </w:r>
          </w:p>
        </w:tc>
        <w:tc>
          <w:tcPr>
            <w:tcW w:type="dxa" w:w="1728"/>
          </w:tcPr>
          <w:p>
            <w:r>
              <w:rPr>
                <w:rFonts w:ascii="Calibri" w:hAnsi="Calibri"/>
                <w:sz w:val="22"/>
              </w:rPr>
              <w:t>110.8</w:t>
            </w:r>
          </w:p>
        </w:tc>
        <w:tc>
          <w:tcPr>
            <w:tcW w:type="dxa" w:w="1728"/>
          </w:tcPr>
          <w:p>
            <w:r>
              <w:rPr>
                <w:rFonts w:ascii="Calibri" w:hAnsi="Calibri"/>
                <w:sz w:val="22"/>
              </w:rPr>
              <w:t>102.8</w:t>
            </w:r>
          </w:p>
        </w:tc>
        <w:tc>
          <w:tcPr>
            <w:tcW w:type="dxa" w:w="1728"/>
          </w:tcPr>
          <w:p>
            <w:r>
              <w:rPr>
                <w:rFonts w:ascii="Calibri" w:hAnsi="Calibri"/>
                <w:sz w:val="22"/>
              </w:rPr>
              <w:t>—</w:t>
            </w:r>
          </w:p>
        </w:tc>
      </w:tr>
      <w:tr>
        <w:tc>
          <w:tcPr>
            <w:tcW w:type="dxa" w:w="1728"/>
          </w:tcPr>
          <w:p>
            <w:r>
              <w:rPr>
                <w:rFonts w:ascii="Calibri" w:hAnsi="Calibri"/>
                <w:sz w:val="22"/>
              </w:rPr>
              <w:t>Jun 16, 2026</w:t>
            </w:r>
          </w:p>
        </w:tc>
        <w:tc>
          <w:tcPr>
            <w:tcW w:type="dxa" w:w="1728"/>
          </w:tcPr>
          <w:p>
            <w:r>
              <w:rPr>
                <w:rFonts w:ascii="Calibri" w:hAnsi="Calibri"/>
                <w:sz w:val="22"/>
              </w:rPr>
              <w:t>90.4</w:t>
            </w:r>
          </w:p>
        </w:tc>
        <w:tc>
          <w:tcPr>
            <w:tcW w:type="dxa" w:w="1728"/>
          </w:tcPr>
          <w:p>
            <w:r>
              <w:rPr>
                <w:rFonts w:ascii="Calibri" w:hAnsi="Calibri"/>
                <w:sz w:val="22"/>
              </w:rPr>
              <w:t>114.6</w:t>
            </w:r>
          </w:p>
        </w:tc>
        <w:tc>
          <w:tcPr>
            <w:tcW w:type="dxa" w:w="1728"/>
          </w:tcPr>
          <w:p>
            <w:r>
              <w:rPr>
                <w:rFonts w:ascii="Calibri" w:hAnsi="Calibri"/>
                <w:sz w:val="22"/>
              </w:rPr>
              <w:t>101.6</w:t>
            </w:r>
          </w:p>
        </w:tc>
        <w:tc>
          <w:tcPr>
            <w:tcW w:type="dxa" w:w="1728"/>
          </w:tcPr>
          <w:p>
            <w:r>
              <w:rPr>
                <w:rFonts w:ascii="Calibri" w:hAnsi="Calibri"/>
                <w:sz w:val="22"/>
              </w:rPr>
              <w:t>Wolfe Research Conference (CEO fireside chat)</w:t>
            </w:r>
          </w:p>
        </w:tc>
      </w:tr>
      <w:tr>
        <w:tc>
          <w:tcPr>
            <w:tcW w:type="dxa" w:w="1728"/>
          </w:tcPr>
          <w:p>
            <w:r>
              <w:rPr>
                <w:rFonts w:ascii="Calibri" w:hAnsi="Calibri"/>
                <w:sz w:val="22"/>
              </w:rPr>
              <w:t>Jun 22, 2026</w:t>
            </w:r>
          </w:p>
        </w:tc>
        <w:tc>
          <w:tcPr>
            <w:tcW w:type="dxa" w:w="1728"/>
          </w:tcPr>
          <w:p>
            <w:r>
              <w:rPr>
                <w:rFonts w:ascii="Calibri" w:hAnsi="Calibri"/>
                <w:sz w:val="22"/>
              </w:rPr>
              <w:t>104.3</w:t>
            </w:r>
          </w:p>
        </w:tc>
        <w:tc>
          <w:tcPr>
            <w:tcW w:type="dxa" w:w="1728"/>
          </w:tcPr>
          <w:p>
            <w:r>
              <w:rPr>
                <w:rFonts w:ascii="Calibri" w:hAnsi="Calibri"/>
                <w:sz w:val="22"/>
              </w:rPr>
              <w:t>126.9</w:t>
            </w:r>
          </w:p>
        </w:tc>
        <w:tc>
          <w:tcPr>
            <w:tcW w:type="dxa" w:w="1728"/>
          </w:tcPr>
          <w:p>
            <w:r>
              <w:rPr>
                <w:rFonts w:ascii="Calibri" w:hAnsi="Calibri"/>
                <w:sz w:val="22"/>
              </w:rPr>
              <w:t>100.8</w:t>
            </w:r>
          </w:p>
        </w:tc>
        <w:tc>
          <w:tcPr>
            <w:tcW w:type="dxa" w:w="1728"/>
          </w:tcPr>
          <w:p>
            <w:r>
              <w:rPr>
                <w:rFonts w:ascii="Calibri" w:hAnsi="Calibri"/>
                <w:sz w:val="22"/>
              </w:rPr>
              <w:t>Q peak post-earnings at $175.64</w:t>
            </w:r>
          </w:p>
        </w:tc>
      </w:tr>
      <w:tr>
        <w:tc>
          <w:tcPr>
            <w:tcW w:type="dxa" w:w="1728"/>
          </w:tcPr>
          <w:p>
            <w:r>
              <w:rPr>
                <w:rFonts w:ascii="Calibri" w:hAnsi="Calibri"/>
                <w:sz w:val="22"/>
              </w:rPr>
              <w:t>Jul 1, 2026</w:t>
            </w:r>
          </w:p>
        </w:tc>
        <w:tc>
          <w:tcPr>
            <w:tcW w:type="dxa" w:w="1728"/>
          </w:tcPr>
          <w:p>
            <w:r>
              <w:rPr>
                <w:rFonts w:ascii="Calibri" w:hAnsi="Calibri"/>
                <w:sz w:val="22"/>
              </w:rPr>
              <w:t>91.1</w:t>
            </w:r>
          </w:p>
        </w:tc>
        <w:tc>
          <w:tcPr>
            <w:tcW w:type="dxa" w:w="1728"/>
          </w:tcPr>
          <w:p>
            <w:r>
              <w:rPr>
                <w:rFonts w:ascii="Calibri" w:hAnsi="Calibri"/>
                <w:sz w:val="22"/>
              </w:rPr>
              <w:t>116.2</w:t>
            </w:r>
          </w:p>
        </w:tc>
        <w:tc>
          <w:tcPr>
            <w:tcW w:type="dxa" w:w="1728"/>
          </w:tcPr>
          <w:p>
            <w:r>
              <w:rPr>
                <w:rFonts w:ascii="Calibri" w:hAnsi="Calibri"/>
                <w:sz w:val="22"/>
              </w:rPr>
              <w:t>101.0</w:t>
            </w:r>
          </w:p>
        </w:tc>
        <w:tc>
          <w:tcPr>
            <w:tcW w:type="dxa" w:w="1728"/>
          </w:tcPr>
          <w:p>
            <w:r>
              <w:rPr>
                <w:rFonts w:ascii="Calibri" w:hAnsi="Calibri"/>
                <w:sz w:val="22"/>
              </w:rPr>
              <w:t>Term loan repricing 8-K filed</w:t>
            </w:r>
          </w:p>
        </w:tc>
      </w:tr>
      <w:tr>
        <w:tc>
          <w:tcPr>
            <w:tcW w:type="dxa" w:w="1728"/>
          </w:tcPr>
          <w:p>
            <w:r>
              <w:rPr>
                <w:rFonts w:ascii="Calibri" w:hAnsi="Calibri"/>
                <w:sz w:val="22"/>
              </w:rPr>
              <w:t>Jul 29, 2026</w:t>
            </w:r>
          </w:p>
        </w:tc>
        <w:tc>
          <w:tcPr>
            <w:tcW w:type="dxa" w:w="1728"/>
          </w:tcPr>
          <w:p>
            <w:r>
              <w:rPr>
                <w:rFonts w:ascii="Calibri" w:hAnsi="Calibri"/>
                <w:sz w:val="22"/>
              </w:rPr>
              <w:t>73.3</w:t>
            </w:r>
          </w:p>
        </w:tc>
        <w:tc>
          <w:tcPr>
            <w:tcW w:type="dxa" w:w="1728"/>
          </w:tcPr>
          <w:p>
            <w:r>
              <w:rPr>
                <w:rFonts w:ascii="Calibri" w:hAnsi="Calibri"/>
                <w:sz w:val="22"/>
              </w:rPr>
              <w:t>90.1</w:t>
            </w:r>
          </w:p>
        </w:tc>
        <w:tc>
          <w:tcPr>
            <w:tcW w:type="dxa" w:w="1728"/>
          </w:tcPr>
          <w:p>
            <w:r>
              <w:rPr>
                <w:rFonts w:ascii="Calibri" w:hAnsi="Calibri"/>
                <w:sz w:val="22"/>
              </w:rPr>
              <w:t>98.8</w:t>
            </w:r>
          </w:p>
        </w:tc>
        <w:tc>
          <w:tcPr>
            <w:tcW w:type="dxa" w:w="1728"/>
          </w:tcPr>
          <w:p>
            <w:r>
              <w:rPr>
                <w:rFonts w:ascii="Calibri" w:hAnsi="Calibri"/>
                <w:sz w:val="22"/>
              </w:rPr>
              <w:t>Lam Research &amp; Teradyne earnings (sector selloff)</w:t>
            </w:r>
          </w:p>
        </w:tc>
      </w:tr>
      <w:tr>
        <w:tc>
          <w:tcPr>
            <w:tcW w:type="dxa" w:w="1728"/>
          </w:tcPr>
          <w:p>
            <w:r>
              <w:rPr>
                <w:rFonts w:ascii="Calibri" w:hAnsi="Calibri"/>
                <w:sz w:val="22"/>
              </w:rPr>
              <w:t>Aug 4, 2026</w:t>
            </w:r>
          </w:p>
        </w:tc>
        <w:tc>
          <w:tcPr>
            <w:tcW w:type="dxa" w:w="1728"/>
          </w:tcPr>
          <w:p>
            <w:r>
              <w:rPr>
                <w:rFonts w:ascii="Calibri" w:hAnsi="Calibri"/>
                <w:sz w:val="22"/>
              </w:rPr>
              <w:t>79.2</w:t>
            </w:r>
          </w:p>
        </w:tc>
        <w:tc>
          <w:tcPr>
            <w:tcW w:type="dxa" w:w="1728"/>
          </w:tcPr>
          <w:p>
            <w:r>
              <w:rPr>
                <w:rFonts w:ascii="Calibri" w:hAnsi="Calibri"/>
                <w:sz w:val="22"/>
              </w:rPr>
              <w:t>98.4</w:t>
            </w:r>
          </w:p>
        </w:tc>
        <w:tc>
          <w:tcPr>
            <w:tcW w:type="dxa" w:w="1728"/>
          </w:tcPr>
          <w:p>
            <w:r>
              <w:rPr>
                <w:rFonts w:ascii="Calibri" w:hAnsi="Calibri"/>
                <w:sz w:val="22"/>
              </w:rPr>
              <w:t>102.6</w:t>
            </w:r>
          </w:p>
        </w:tc>
        <w:tc>
          <w:tcPr>
            <w:tcW w:type="dxa" w:w="1728"/>
          </w:tcPr>
          <w:p>
            <w:r>
              <w:rPr>
                <w:rFonts w:ascii="Calibri" w:hAnsi="Calibri"/>
                <w:sz w:val="22"/>
              </w:rPr>
              <w:t>Q2 2026 Earnings Day</w:t>
            </w:r>
          </w:p>
        </w:tc>
      </w:tr>
    </w:tbl>
    <w:p>
      <w:r>
        <w:rPr>
          <w:rFonts w:ascii="Calibri" w:hAnsi="Calibri"/>
          <w:b/>
          <w:color w:val="525866"/>
          <w:sz w:val="22"/>
        </w:rPr>
        <w:t xml:space="preserve">Sector ETF used: </w:t>
      </w:r>
      <w:r>
        <w:rPr>
          <w:rFonts w:ascii="Calibri" w:hAnsi="Calibri"/>
          <w:color w:val="525866"/>
          <w:sz w:val="22"/>
        </w:rPr>
        <w:t>SOXX (iShares Semiconductor ETF / PHLX Semiconductor Index) — appropriate for Qnity's semiconductor materials sub-sector. Note: SOXX data available through July 31, 2026 from FRED; August 4 figure estimated from available data.</w:t>
      </w:r>
    </w:p>
    <w:p>
      <w:r>
        <w:rPr>
          <w:rFonts w:ascii="Calibri" w:hAnsi="Calibri"/>
          <w:b/>
          <w:color w:val="525866"/>
          <w:sz w:val="22"/>
        </w:rPr>
        <w:t xml:space="preserve">Valuation context: </w:t>
      </w:r>
      <w:r>
        <w:rPr>
          <w:rFonts w:ascii="Calibri" w:hAnsi="Calibri"/>
          <w:color w:val="525866"/>
          <w:sz w:val="22"/>
        </w:rPr>
        <w:t>NTM EV/EBITDA has compressed from ~20.7x (3 months ago) to ~17.5x currently, while NTM P/E has compressed from ~35x to ~28x. The 6-month period shows +38.6% price appreciation driven by multiple expansion (+19.4% on EV/EBITDA) following the Q4 2025 guidance raise. The recent pullback is entirely multiple compression — estimates have been stable — suggesting the stock is now pricing in a more normalized growth premium.</w:t>
      </w:r>
    </w:p>
    <w:p>
      <w:r>
        <w:rPr>
          <w:rFonts w:ascii="Calibri" w:hAnsi="Calibri"/>
          <w:b/>
          <w:color w:val="525866"/>
          <w:sz w:val="22"/>
        </w:rPr>
        <w:t xml:space="preserve">Source: </w:t>
      </w:r>
      <w:r>
        <w:rPr>
          <w:rFonts w:ascii="Calibri" w:hAnsi="Calibri"/>
          <w:color w:val="525866"/>
          <w:sz w:val="22"/>
        </w:rPr>
        <w:t>Stock price data from Yahoo Finance. SOXX and SPY price data from Yahoo Finance. Valuation multiples from Implied stock performance decomposition tool.</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1 term loan repricing, which reduces annual interest expense and is a direct positive for adjusted EPS and free cash flow — a modest but clean tailwind heading into Q2 results.</w:t>
      </w:r>
    </w:p>
    <w:p>
      <w:pPr>
        <w:pStyle w:val="ListBullet"/>
        <w:ind w:left="360" w:hanging="360"/>
      </w:pPr>
      <w:r>
        <w:rPr>
          <w:rFonts w:ascii="Calibri" w:hAnsi="Calibri"/>
          <w:b/>
          <w:color w:val="525866"/>
          <w:sz w:val="22"/>
        </w:rPr>
        <w:t>August 4, 2026 — Q2 2026 Earnings Release (Today).</w:t>
      </w:r>
      <w:r>
        <w:rPr>
          <w:rFonts w:ascii="Calibri" w:hAnsi="Calibri"/>
          <w:color w:val="525866"/>
          <w:sz w:val="22"/>
        </w:rPr>
        <w:t xml:space="preserve"> Qnity scheduled to report Q2 2026 results before market open, followed by conference call at 8:00 a.m. ET. Source: Qnity press release, July 7, 2026.</w:t>
      </w:r>
    </w:p>
    <w:p>
      <w:pPr>
        <w:pStyle w:val="ListBullet"/>
        <w:ind w:left="360" w:hanging="360"/>
      </w:pPr>
      <w:r>
        <w:rPr>
          <w:rFonts w:ascii="Calibri" w:hAnsi="Calibri"/>
          <w:b/>
          <w:color w:val="525866"/>
          <w:sz w:val="22"/>
        </w:rPr>
        <w:t>July 1, 2026 — Term Loan Repricing (8-K).</w:t>
      </w:r>
      <w:r>
        <w:rPr>
          <w:rFonts w:ascii="Calibri" w:hAnsi="Calibri"/>
          <w:color w:val="525866"/>
          <w:sz w:val="22"/>
        </w:rPr>
        <w:t xml:space="preserve"> Qnity repriced all $2.338B of outstanding term loans, reducing the interest rate margin from SOFR+200bps to SOFR+175bps (a 25bps reduction). </w:t>
      </w:r>
      <w:r>
        <w:rPr>
          <w:rFonts w:ascii="Calibri" w:hAnsi="Calibri"/>
          <w:b/>
          <w:color w:val="525866"/>
          <w:sz w:val="22"/>
        </w:rPr>
        <w:t xml:space="preserve">Implication: </w:t>
      </w:r>
      <w:r>
        <w:rPr>
          <w:rFonts w:ascii="Calibri" w:hAnsi="Calibri"/>
          <w:color w:val="525866"/>
          <w:sz w:val="22"/>
        </w:rPr>
        <w:t>Reduces annual interest expense by approximately $5–6M, a direct tailwind to adjusted EPS and free cash flow. No other terms changed. Source: Qnity 8-K, July 1, 2026.</w:t>
      </w:r>
    </w:p>
    <w:p>
      <w:pPr>
        <w:pStyle w:val="ListBullet"/>
        <w:ind w:left="360" w:hanging="360"/>
      </w:pPr>
      <w:r>
        <w:rPr>
          <w:rFonts w:ascii="Calibri" w:hAnsi="Calibri"/>
          <w:b/>
          <w:color w:val="525866"/>
          <w:sz w:val="22"/>
        </w:rPr>
        <w:t>June 16, 2026 — Wolfe Research Materials of the Future Conference.</w:t>
      </w:r>
      <w:r>
        <w:rPr>
          <w:rFonts w:ascii="Calibri" w:hAnsi="Calibri"/>
          <w:color w:val="525866"/>
          <w:sz w:val="22"/>
        </w:rPr>
        <w:t xml:space="preserve"> CEO Jon Kemp presented at the Wolfe Research 3rd Annual Materials of the Future Conference. Key messages: (1) reiterated "great start to the year" driven by AI-led demand surge; (2) confirmed mainstream logic utilization moved from mid-70s to upper-70s/low-80s; (3) advanced packaging and thermal grew 50%+ YoY in Q1; (4) company is "well positioned" for physical AI and edge computing expansion; (5) data centers represent ~20% of portfolio with significant runway. </w:t>
      </w:r>
      <w:r>
        <w:rPr>
          <w:rFonts w:ascii="Calibri" w:hAnsi="Calibri"/>
          <w:b/>
          <w:color w:val="525866"/>
          <w:sz w:val="22"/>
        </w:rPr>
        <w:t xml:space="preserve">Implication: </w:t>
      </w:r>
      <w:r>
        <w:rPr>
          <w:rFonts w:ascii="Calibri" w:hAnsi="Calibri"/>
          <w:color w:val="525866"/>
          <w:sz w:val="22"/>
        </w:rPr>
        <w:t>Incrementally positive tone on Q2 demand environment; no guidance changes. Source: Wolfe Research conference transcript, June 16, 2026.</w:t>
      </w:r>
    </w:p>
    <w:p>
      <w:pPr>
        <w:pStyle w:val="ListBullet"/>
        <w:ind w:left="360" w:hanging="360"/>
      </w:pPr>
      <w:r>
        <w:rPr>
          <w:rFonts w:ascii="Calibri" w:hAnsi="Calibri"/>
          <w:b/>
          <w:color w:val="525866"/>
          <w:sz w:val="22"/>
        </w:rPr>
        <w:t>May 12, 2026 — Q1 2026 Beat &amp; Full-Year Guidance Raise.</w:t>
      </w:r>
      <w:r>
        <w:rPr>
          <w:rFonts w:ascii="Calibri" w:hAnsi="Calibri"/>
          <w:color w:val="525866"/>
          <w:sz w:val="22"/>
        </w:rPr>
        <w:t xml:space="preserve"> Qnity reported Q1 2026 revenue of $1.315B (+18% YoY, +11% QoQ) and Adj. EBITDA of $411M (+22% YoY), both well above consensus. Full-year guidance raised across all metrics; MSI growth outlook upgraded from mid-single digits to mid-to-high single digits. </w:t>
      </w:r>
      <w:r>
        <w:rPr>
          <w:rFonts w:ascii="Calibri" w:hAnsi="Calibri"/>
          <w:b/>
          <w:color w:val="525866"/>
          <w:sz w:val="22"/>
        </w:rPr>
        <w:t xml:space="preserve">Implication: </w:t>
      </w:r>
      <w:r>
        <w:rPr>
          <w:rFonts w:ascii="Calibri" w:hAnsi="Calibri"/>
          <w:color w:val="525866"/>
          <w:sz w:val="22"/>
        </w:rPr>
        <w:t>Established a strong baseline for Q2 and set a higher bar for the remainder of 2026. Source: Q1 2026 Earnings Release and Earnings Call transcript, May 12, 2026.</w:t>
      </w:r>
    </w:p>
    <w:p>
      <w:pPr>
        <w:pStyle w:val="ListBullet"/>
        <w:ind w:left="360" w:hanging="360"/>
      </w:pPr>
      <w:r>
        <w:rPr>
          <w:rFonts w:ascii="Calibri" w:hAnsi="Calibri"/>
          <w:b/>
          <w:color w:val="525866"/>
          <w:sz w:val="22"/>
        </w:rPr>
        <w:t>May 12, 2026 — NVIDIA Collaboration Announced.</w:t>
      </w:r>
      <w:r>
        <w:rPr>
          <w:rFonts w:ascii="Calibri" w:hAnsi="Calibri"/>
          <w:color w:val="525866"/>
          <w:sz w:val="22"/>
        </w:rPr>
        <w:t xml:space="preserve"> Qnity announced a new collaboration with NVIDIA focused on advancing materials R&amp;D for next-gen AI, HPC, and advanced packaging, combining Qnity's materials expertise with NVIDIA's modeling and simulation capabilities. </w:t>
      </w:r>
      <w:r>
        <w:rPr>
          <w:rFonts w:ascii="Calibri" w:hAnsi="Calibri"/>
          <w:b/>
          <w:color w:val="525866"/>
          <w:sz w:val="22"/>
        </w:rPr>
        <w:t xml:space="preserve">Implication: </w:t>
      </w:r>
      <w:r>
        <w:rPr>
          <w:rFonts w:ascii="Calibri" w:hAnsi="Calibri"/>
          <w:color w:val="525866"/>
          <w:sz w:val="22"/>
        </w:rPr>
        <w:t>Elevates Qnity's strategic positioning as a system-level materials innovation partner; potential for accelerated PoR wins at leading-edge nodes. Source: Q1 2026 Earnings Call transcript, May 12, 2026.</w:t>
      </w:r>
    </w:p>
    <w:p>
      <w:pPr>
        <w:pStyle w:val="ListBullet"/>
        <w:ind w:left="360" w:hanging="360"/>
      </w:pPr>
      <w:r>
        <w:rPr>
          <w:rFonts w:ascii="Calibri" w:hAnsi="Calibri"/>
          <w:b/>
          <w:color w:val="525866"/>
          <w:sz w:val="22"/>
        </w:rPr>
        <w:t>May 12, 2026 — Apple American Manufacturing Program Inclusion.</w:t>
      </w:r>
      <w:r>
        <w:rPr>
          <w:rFonts w:ascii="Calibri" w:hAnsi="Calibri"/>
          <w:color w:val="525866"/>
          <w:sz w:val="22"/>
        </w:rPr>
        <w:t xml:space="preserve"> Qnity's inclusion in Apple's American Manufacturing Program was confirmed, recognizing its role as a "long-term trusted partner." </w:t>
      </w:r>
      <w:r>
        <w:rPr>
          <w:rFonts w:ascii="Calibri" w:hAnsi="Calibri"/>
          <w:b/>
          <w:color w:val="525866"/>
          <w:sz w:val="22"/>
        </w:rPr>
        <w:t xml:space="preserve">Implication: </w:t>
      </w:r>
      <w:r>
        <w:rPr>
          <w:rFonts w:ascii="Calibri" w:hAnsi="Calibri"/>
          <w:color w:val="525866"/>
          <w:sz w:val="22"/>
        </w:rPr>
        <w:t>Reinforces customer relationship depth and supports domestic manufacturing narrative; potential for incremental volume as Apple expands U.S. supply chain. Source: Q1 2026 Earnings Call transcript, May 12, 2026.</w:t>
      </w:r>
    </w:p>
    <w:p>
      <w:pPr>
        <w:pStyle w:val="ListBullet"/>
        <w:ind w:left="360" w:hanging="360"/>
      </w:pPr>
      <w:r>
        <w:rPr>
          <w:rFonts w:ascii="Calibri" w:hAnsi="Calibri"/>
          <w:b/>
          <w:color w:val="525866"/>
          <w:sz w:val="22"/>
        </w:rPr>
        <w:t>May 12, 2026 — Delaware Facility Opened; Taiwan Facility Announced.</w:t>
      </w:r>
      <w:r>
        <w:rPr>
          <w:rFonts w:ascii="Calibri" w:hAnsi="Calibri"/>
          <w:color w:val="525866"/>
          <w:sz w:val="22"/>
        </w:rPr>
        <w:t xml:space="preserve"> A 385,000 sq ft Delaware facility opened in March 2026 with the first production line already operational and in customer qualifications. A new Taiwan facility (clean rooms, manufacturing, warehouse, R&amp;D lab) was announced, scheduled to be fully operational in early 2027. </w:t>
      </w:r>
      <w:r>
        <w:rPr>
          <w:rFonts w:ascii="Calibri" w:hAnsi="Calibri"/>
          <w:b/>
          <w:color w:val="525866"/>
          <w:sz w:val="22"/>
        </w:rPr>
        <w:t xml:space="preserve">Implication: </w:t>
      </w:r>
      <w:r>
        <w:rPr>
          <w:rFonts w:ascii="Calibri" w:hAnsi="Calibri"/>
          <w:color w:val="525866"/>
          <w:sz w:val="22"/>
        </w:rPr>
        <w:t>Capacity expansion supports ICS growth trajectory; Taiwan facility positions Qnity adjacent to key advanced packaging customers. Source: Q1 2026 Earnings Call transcript, May 12, 2026.</w:t>
      </w:r>
    </w:p>
    <w:p>
      <w:pPr>
        <w:pStyle w:val="ListBullet"/>
        <w:ind w:left="360" w:hanging="360"/>
      </w:pPr>
      <w:r>
        <w:rPr>
          <w:rFonts w:ascii="Calibri" w:hAnsi="Calibri"/>
          <w:b/>
          <w:color w:val="525866"/>
          <w:sz w:val="22"/>
        </w:rPr>
        <w:t>Ongoing — CFO and Semiconductor Segment President Searches.</w:t>
      </w:r>
      <w:r>
        <w:rPr>
          <w:rFonts w:ascii="Calibri" w:hAnsi="Calibri"/>
          <w:color w:val="525866"/>
          <w:sz w:val="22"/>
        </w:rPr>
        <w:t xml:space="preserve"> Both the CFO (Matt Harbaugh stepped down for health reasons) and Semiconductor segment president positions remain vacant, with interim leadership in place. Management described searches as "actively progressing with strong candidate pipelines." </w:t>
      </w:r>
      <w:r>
        <w:rPr>
          <w:rFonts w:ascii="Calibri" w:hAnsi="Calibri"/>
          <w:b/>
          <w:color w:val="525866"/>
          <w:sz w:val="22"/>
        </w:rPr>
        <w:t xml:space="preserve">Implication: </w:t>
      </w:r>
      <w:r>
        <w:rPr>
          <w:rFonts w:ascii="Calibri" w:hAnsi="Calibri"/>
          <w:color w:val="525866"/>
          <w:sz w:val="22"/>
        </w:rPr>
        <w:t>Leadership uncertainty is a modest overhang; resolution would be a positive catalyst. Source: Qnity 8-K filings and Q1 2026 Earnings Call.</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Only one open-market transaction was identified in the post-Q1 window — a small discretionary sale by a director. No clustered buying or unusual selling activity; the absence of insider purchases at current prices is neutral, not alarming, given the stock's post-Q1 pullback.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Steven Sterin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400 shares</w:t>
            </w:r>
          </w:p>
        </w:tc>
        <w:tc>
          <w:tcPr>
            <w:tcW w:type="dxa" w:w="1440"/>
          </w:tcPr>
          <w:p>
            <w:r>
              <w:rPr>
                <w:rFonts w:ascii="Calibri" w:hAnsi="Calibri"/>
                <w:sz w:val="22"/>
              </w:rPr>
              <w:t>June 5, 2026 (filed June 8, 2026)</w:t>
            </w:r>
          </w:p>
        </w:tc>
        <w:tc>
          <w:tcPr>
            <w:tcW w:type="dxa" w:w="1440"/>
          </w:tcPr>
          <w:p>
            <w:r>
              <w:rPr>
                <w:rFonts w:ascii="Calibri" w:hAnsi="Calibri"/>
                <w:sz w:val="22"/>
              </w:rPr>
              <w:t>Discretionary sale; not under a 10b5-1 plan. Retained 12,195 shares post-transaction. Small in size relative to holdings.</w:t>
            </w:r>
          </w:p>
        </w:tc>
      </w:tr>
    </w:tbl>
    <w:p>
      <w:r>
        <w:rPr>
          <w:rFonts w:ascii="Calibri" w:hAnsi="Calibri"/>
          <w:b/>
          <w:color w:val="525866"/>
          <w:sz w:val="22"/>
        </w:rPr>
        <w:t xml:space="preserve">Source: </w:t>
      </w:r>
      <w:r>
        <w:rPr>
          <w:rFonts w:ascii="Calibri" w:hAnsi="Calibri"/>
          <w:color w:val="525866"/>
          <w:sz w:val="22"/>
        </w:rPr>
        <w:t>SEC Form 4 filing, Steven Sterin (Q), filed June 8, 2026. Search window: May 12 – August 3, 2026. Only open-market buys (code P) and sells (code S) included.</w:t>
      </w:r>
    </w:p>
    <w:p>
      <w:r>
        <w:br w:type="page"/>
      </w:r>
    </w:p>
    <w:p>
      <w:pPr>
        <w:pStyle w:val="Heading2"/>
      </w:pPr>
      <w:r>
        <w:rPr>
          <w:rFonts w:ascii="Calibri" w:hAnsi="Calibri"/>
          <w:b/>
          <w:color w:val="3B4259"/>
          <w:sz w:val="28"/>
        </w:rPr>
        <w:t>Peer Commentary Read-Throughs</w:t>
      </w:r>
    </w:p>
    <w:p>
      <w:r>
        <w:rPr>
          <w:rFonts w:ascii="Calibri" w:hAnsi="Calibri"/>
          <w:b/>
          <w:color w:val="525866"/>
          <w:sz w:val="22"/>
        </w:rPr>
        <w:t xml:space="preserve">Key Takeaway: </w:t>
      </w:r>
      <w:r>
        <w:rPr>
          <w:rFonts w:ascii="Calibri" w:hAnsi="Calibri"/>
          <w:color w:val="525866"/>
          <w:sz w:val="22"/>
        </w:rPr>
        <w:t>All three peers — Lam Research, KLA, and Teradyne — reported in late July 2026 and delivered uniformly bullish forward-quarter guidance, with WFE spending raised to the low-$150B range for 2026 and advanced packaging growth accelerating well above prior expectations. The read-through for Qnity Q2 2026 is strongly positive across all key demand vectors.</w:t>
      </w:r>
    </w:p>
    <w:p>
      <w:r>
        <w:rPr>
          <w:rFonts w:ascii="Calibri" w:hAnsi="Calibri"/>
          <w:b/>
          <w:color w:val="525866"/>
          <w:sz w:val="22"/>
        </w:rPr>
        <w:t xml:space="preserve">Note: </w:t>
      </w:r>
      <w:r>
        <w:rPr>
          <w:rFonts w:ascii="Calibri" w:hAnsi="Calibri"/>
          <w:color w:val="525866"/>
          <w:sz w:val="22"/>
        </w:rPr>
        <w:t>Only forward-looking commentary about the September 2026 quarter and beyond is included below. Historical reported-quarter results from these peers are excluded as they do not constitute read-throughs for Qnity's Q2 2026 (June quarter) results.</w:t>
      </w:r>
    </w:p>
    <w:p>
      <w:pPr>
        <w:pStyle w:val="Heading3"/>
      </w:pPr>
      <w:r>
        <w:rPr>
          <w:rFonts w:ascii="Calibri" w:hAnsi="Calibri"/>
          <w:b/>
          <w:color w:val="3B4259"/>
          <w:sz w:val="24"/>
        </w:rPr>
        <w:t>Lam Research (LRCX) — Reported July 29, 2026</w:t>
      </w:r>
    </w:p>
    <w:p>
      <w:r>
        <w:rPr>
          <w:rFonts w:ascii="Calibri" w:hAnsi="Calibri"/>
          <w:b/>
          <w:color w:val="525866"/>
          <w:sz w:val="22"/>
        </w:rPr>
        <w:t xml:space="preserve">Relevance to Qnity: </w:t>
      </w:r>
      <w:r>
        <w:rPr>
          <w:rFonts w:ascii="Calibri" w:hAnsi="Calibri"/>
          <w:color w:val="525866"/>
          <w:sz w:val="22"/>
        </w:rPr>
        <w:t>Lam is a leading wafer fab equipment supplier with deep exposure to etch, deposition, and critical cleans — the same process steps where Qnity's CMP pads, slurries, and cleans are consumed. Lam's WFE outlook and advanced packaging commentary are the most direct demand read-through for Qnity's Semiconductor and ICS segments.</w:t>
      </w:r>
    </w:p>
    <w:p>
      <w:pPr>
        <w:pStyle w:val="ListBullet"/>
        <w:ind w:left="360" w:hanging="360"/>
      </w:pPr>
      <w:r>
        <w:rPr>
          <w:rFonts w:ascii="Calibri" w:hAnsi="Calibri"/>
          <w:b/>
          <w:color w:val="525866"/>
          <w:sz w:val="22"/>
        </w:rPr>
        <w:t>WFE spending raised to low-$150B range for 2026.</w:t>
      </w:r>
      <w:r>
        <w:rPr>
          <w:rFonts w:ascii="Calibri" w:hAnsi="Calibri"/>
          <w:color w:val="525866"/>
          <w:sz w:val="22"/>
        </w:rPr>
        <w:t xml:space="preserve"> Lam raised its 2026 WFE outlook from $140B to the "low $150 billion range," representing mid-20% growth over 2025's ~$120B. For 2027, management described an "extraordinary setup for WFE growth," noting the industry is "still meaningfully undersupplied" with "eight, nine, ten new fabs coming online between now and the end of next year." </w:t>
      </w:r>
      <w:r>
        <w:rPr>
          <w:rFonts w:ascii="Calibri" w:hAnsi="Calibri"/>
          <w:b/>
          <w:color w:val="525866"/>
          <w:sz w:val="22"/>
        </w:rPr>
        <w:t xml:space="preserve">Read-through: </w:t>
      </w:r>
      <w:r>
        <w:rPr>
          <w:rFonts w:ascii="Calibri" w:hAnsi="Calibri"/>
          <w:color w:val="525866"/>
          <w:sz w:val="22"/>
        </w:rPr>
        <w:t>Higher WFE spending directly drives wafer starts and materials consumption — Qnity's ~90% consumables portfolio benefits proportionally. The 2027 setup is particularly relevant for Qnity's FY2027 estimates. Source: LRCX Q4 FY2026 Earnings Call, July 29, 2026.</w:t>
      </w:r>
    </w:p>
    <w:p>
      <w:pPr>
        <w:pStyle w:val="ListBullet"/>
        <w:ind w:left="360" w:hanging="360"/>
      </w:pPr>
      <w:r>
        <w:rPr>
          <w:rFonts w:ascii="Calibri" w:hAnsi="Calibri"/>
          <w:b/>
          <w:color w:val="525866"/>
          <w:sz w:val="22"/>
        </w:rPr>
        <w:t>Advanced packaging growth upgraded to &gt;70% YoY for 2026.</w:t>
      </w:r>
      <w:r>
        <w:rPr>
          <w:rFonts w:ascii="Calibri" w:hAnsi="Calibri"/>
          <w:color w:val="525866"/>
          <w:sz w:val="22"/>
        </w:rPr>
        <w:t xml:space="preserve"> Lam raised its advanced packaging revenue growth outlook from &gt;40% to &gt;50% to now "&gt;70% year-on-year growth" — a series of consecutive upgrades through the year. Management cited AI-driven demand for chiplets, HBM stacks, and greater memory bandwidth within a single package. Future AI packages are expected to exceed "nine times the reticle size," driving the industry toward "larger format, panel-level packaging approaches." Lam has already shipped 510x515mm panel systems into development programs. </w:t>
      </w:r>
      <w:r>
        <w:rPr>
          <w:rFonts w:ascii="Calibri" w:hAnsi="Calibri"/>
          <w:b/>
          <w:color w:val="525866"/>
          <w:sz w:val="22"/>
        </w:rPr>
        <w:t xml:space="preserve">Read-through: </w:t>
      </w:r>
      <w:r>
        <w:rPr>
          <w:rFonts w:ascii="Calibri" w:hAnsi="Calibri"/>
          <w:color w:val="525866"/>
          <w:sz w:val="22"/>
        </w:rPr>
        <w:t>Qnity's ICS segment — which includes advanced packaging materials (metallization, dielectric substrates, thermal materials) — is directly exposed to this demand. Lam's &gt;70% growth in advanced packaging process control is consistent with Qnity's own 50%+ YoY growth in advanced packaging and thermal in Q1 2026, and suggests the momentum continued into Q2. Source: LRCX Q4 FY2026 Earnings Call, July 29, 2026.</w:t>
      </w:r>
    </w:p>
    <w:p>
      <w:pPr>
        <w:pStyle w:val="ListBullet"/>
        <w:ind w:left="360" w:hanging="360"/>
      </w:pPr>
      <w:r>
        <w:rPr>
          <w:rFonts w:ascii="Calibri" w:hAnsi="Calibri"/>
          <w:b/>
          <w:color w:val="525866"/>
          <w:sz w:val="22"/>
        </w:rPr>
        <w:t>NAND upgrade cycle accelerating; DRAM fastest grower in 2027.</w:t>
      </w:r>
      <w:r>
        <w:rPr>
          <w:rFonts w:ascii="Calibri" w:hAnsi="Calibri"/>
          <w:color w:val="525866"/>
          <w:sz w:val="22"/>
        </w:rPr>
        <w:t xml:space="preserve"> Lam noted customers are "adding bit supply and improving device capability through installed base conversions to 200+ layer architectures," and expects its NAND SAM per wafer to "double from the 128-layer node to 500+ layer devices." DRAM is expected to be the fastest-growing segment in 2027, with HBM driving intensity levels "rivaling advanced logic." NAND is expected to be the third-fastest grower. </w:t>
      </w:r>
      <w:r>
        <w:rPr>
          <w:rFonts w:ascii="Calibri" w:hAnsi="Calibri"/>
          <w:b/>
          <w:color w:val="525866"/>
          <w:sz w:val="22"/>
        </w:rPr>
        <w:t xml:space="preserve">Read-through: </w:t>
      </w:r>
      <w:r>
        <w:rPr>
          <w:rFonts w:ascii="Calibri" w:hAnsi="Calibri"/>
          <w:color w:val="525866"/>
          <w:sz w:val="22"/>
        </w:rPr>
        <w:t>Qnity's memory exposure (~20% of portfolio, skewed to DRAM/HBM) benefits from rising DRAM utilization (guided to high-80s to above 90% in H2 2026) and NAND layer count increases that drive CMP and clean materials intensity. Source: LRCX Q4 FY2026 Earnings Call, July 29, 2026.</w:t>
      </w:r>
    </w:p>
    <w:p>
      <w:pPr>
        <w:pStyle w:val="ListBullet"/>
        <w:ind w:left="360" w:hanging="360"/>
      </w:pPr>
      <w:r>
        <w:rPr>
          <w:rFonts w:ascii="Calibri" w:hAnsi="Calibri"/>
          <w:b/>
          <w:color w:val="525866"/>
          <w:sz w:val="22"/>
        </w:rPr>
        <w:t>AI driving "unprecedented demand" and accelerated architectural scaling.</w:t>
      </w:r>
      <w:r>
        <w:rPr>
          <w:rFonts w:ascii="Calibri" w:hAnsi="Calibri"/>
          <w:color w:val="525866"/>
          <w:sz w:val="22"/>
        </w:rPr>
        <w:t xml:space="preserve"> Lam described AI progressing through "distinct waves, from training to inference to agentic, and now increasingly physical AI," with hyperscale data center CapEx translating to WFE at a ratio of ~$8–9B WFE per $100B data center CapEx (trending higher than prior estimates). Customers have signaled "unprecedented long-term demand visibility." </w:t>
      </w:r>
      <w:r>
        <w:rPr>
          <w:rFonts w:ascii="Calibri" w:hAnsi="Calibri"/>
          <w:b/>
          <w:color w:val="525866"/>
          <w:sz w:val="22"/>
        </w:rPr>
        <w:t xml:space="preserve">Read-through: </w:t>
      </w:r>
      <w:r>
        <w:rPr>
          <w:rFonts w:ascii="Calibri" w:hAnsi="Calibri"/>
          <w:color w:val="525866"/>
          <w:sz w:val="22"/>
        </w:rPr>
        <w:t>Directly validates Qnity's "shrink to stack" strategic narrative and the structural upgrade of its ICS portfolio's value. Qnity's data center exposure (~20% of portfolio) is a direct beneficiary. Source: LRCX Q4 FY2026 Earnings Call, July 29, 2026.</w:t>
      </w:r>
    </w:p>
    <w:p>
      <w:pPr>
        <w:pStyle w:val="ListBullet"/>
        <w:ind w:left="360" w:hanging="360"/>
      </w:pPr>
      <w:r>
        <w:rPr>
          <w:rFonts w:ascii="Calibri" w:hAnsi="Calibri"/>
          <w:b/>
          <w:color w:val="525866"/>
          <w:sz w:val="22"/>
        </w:rPr>
        <w:t>Critical cleans described as a "very important business" that has "grown nicely."</w:t>
      </w:r>
      <w:r>
        <w:rPr>
          <w:rFonts w:ascii="Calibri" w:hAnsi="Calibri"/>
          <w:color w:val="525866"/>
          <w:sz w:val="22"/>
        </w:rPr>
        <w:t xml:space="preserve"> Lam specifically called out critical cleans as a growing and important business segment. </w:t>
      </w:r>
      <w:r>
        <w:rPr>
          <w:rFonts w:ascii="Calibri" w:hAnsi="Calibri"/>
          <w:b/>
          <w:color w:val="525866"/>
          <w:sz w:val="22"/>
        </w:rPr>
        <w:t xml:space="preserve">Read-through: </w:t>
      </w:r>
      <w:r>
        <w:rPr>
          <w:rFonts w:ascii="Calibri" w:hAnsi="Calibri"/>
          <w:color w:val="525866"/>
          <w:sz w:val="22"/>
        </w:rPr>
        <w:t>Qnity's semiconductor cleans products are a direct analog — this commentary validates demand for Qnity's cleans portfolio at advanced nodes. Source: LRCX Q4 FY2026 Earnings Call, July 29, 2026.</w:t>
      </w:r>
    </w:p>
    <w:p>
      <w:pPr>
        <w:pStyle w:val="ListBullet"/>
        <w:ind w:left="360" w:hanging="360"/>
      </w:pPr>
      <w:r>
        <w:rPr>
          <w:rFonts w:ascii="Calibri" w:hAnsi="Calibri"/>
          <w:b/>
          <w:color w:val="525866"/>
          <w:sz w:val="22"/>
        </w:rPr>
        <w:t>September 2026 quarter guidance: Revenue $8.1B (±$400M), gross margin 52% (±1pp), operating margin 39.5% (±1pp), EPS $2.15 (±$0.15).</w:t>
      </w:r>
      <w:r>
        <w:rPr>
          <w:rFonts w:ascii="Calibri" w:hAnsi="Calibri"/>
          <w:color w:val="525866"/>
          <w:sz w:val="22"/>
        </w:rPr>
        <w:t xml:space="preserve"> Lam guided for continued sequential revenue growth into the September quarter, with spending growing "at a much slower rate than the growth in revenue" — implying operating leverage. </w:t>
      </w:r>
      <w:r>
        <w:rPr>
          <w:rFonts w:ascii="Calibri" w:hAnsi="Calibri"/>
          <w:b/>
          <w:color w:val="525866"/>
          <w:sz w:val="22"/>
        </w:rPr>
        <w:t xml:space="preserve">Read-through: </w:t>
      </w:r>
      <w:r>
        <w:rPr>
          <w:rFonts w:ascii="Calibri" w:hAnsi="Calibri"/>
          <w:color w:val="525866"/>
          <w:sz w:val="22"/>
        </w:rPr>
        <w:t>Lam's September quarter guide implies continued strong WFE activity through Q3 2026, supporting Qnity's H2 2026 revenue trajectory. Source: LRCX Q4 FY2026 Earnings Call, July 29, 2026.</w:t>
      </w:r>
    </w:p>
    <w:p>
      <w:pPr>
        <w:pStyle w:val="Heading3"/>
      </w:pPr>
      <w:r>
        <w:rPr>
          <w:rFonts w:ascii="Calibri" w:hAnsi="Calibri"/>
          <w:b/>
          <w:color w:val="3B4259"/>
          <w:sz w:val="24"/>
        </w:rPr>
        <w:t>KLA Corporation (KLAC) — Reported July 28, 2026</w:t>
      </w:r>
    </w:p>
    <w:p>
      <w:r>
        <w:rPr>
          <w:rFonts w:ascii="Calibri" w:hAnsi="Calibri"/>
          <w:b/>
          <w:color w:val="525866"/>
          <w:sz w:val="22"/>
        </w:rPr>
        <w:t xml:space="preserve">Relevance to Qnity: </w:t>
      </w:r>
      <w:r>
        <w:rPr>
          <w:rFonts w:ascii="Calibri" w:hAnsi="Calibri"/>
          <w:color w:val="525866"/>
          <w:sz w:val="22"/>
        </w:rPr>
        <w:t>KLA is the leading process control equipment supplier, with revenue directly tied to wafer starts and technology node transitions — the same demand drivers as Qnity's consumables. KLA's WFE market outlook and advanced packaging commentary are highly correlated with Qnity's volume and mix trends.</w:t>
      </w:r>
    </w:p>
    <w:p>
      <w:pPr>
        <w:pStyle w:val="ListBullet"/>
        <w:ind w:left="360" w:hanging="360"/>
      </w:pPr>
      <w:r>
        <w:rPr>
          <w:rFonts w:ascii="Calibri" w:hAnsi="Calibri"/>
          <w:b/>
          <w:color w:val="525866"/>
          <w:sz w:val="22"/>
        </w:rPr>
        <w:t>WFE market raised to low-$150B range for 2026; 2027 expected to be ~$190B.</w:t>
      </w:r>
      <w:r>
        <w:rPr>
          <w:rFonts w:ascii="Calibri" w:hAnsi="Calibri"/>
          <w:color w:val="525866"/>
          <w:sz w:val="22"/>
        </w:rPr>
        <w:t xml:space="preserve"> KLA raised its 2026 WFE market estimate (including advanced packaging) from "$140B+" to "approximately the low $150 billion range," representing mid-20% growth over 2025. For 2027, the consensus view is "somewhere in and around the $190 billion range," implying another mid-20% growth year. KLA described "unprecedented visibility from customers" and plans for "significant growth in calendar 2027 as broad-based investment across leading-edge Logic Foundry, DRAM, both conventional and HBM, NAND, and advanced packaging drives continued capacity expansion." </w:t>
      </w:r>
      <w:r>
        <w:rPr>
          <w:rFonts w:ascii="Calibri" w:hAnsi="Calibri"/>
          <w:b/>
          <w:color w:val="525866"/>
          <w:sz w:val="22"/>
        </w:rPr>
        <w:t xml:space="preserve">Read-through: </w:t>
      </w:r>
      <w:r>
        <w:rPr>
          <w:rFonts w:ascii="Calibri" w:hAnsi="Calibri"/>
          <w:color w:val="525866"/>
          <w:sz w:val="22"/>
        </w:rPr>
        <w:t>A $190B WFE market in 2027 would represent the largest annual WFE spend in history and is a powerful tailwind for Qnity's FY2027 estimates. The broad-based nature of the investment (logic, DRAM, HBM, NAND, advanced packaging) aligns with Qnity's diversified exposure across all these segments. Source: KLAC Q4 FY2026 Earnings Call, July 28, 2026.</w:t>
      </w:r>
    </w:p>
    <w:p>
      <w:pPr>
        <w:pStyle w:val="ListBullet"/>
        <w:ind w:left="360" w:hanging="360"/>
      </w:pPr>
      <w:r>
        <w:rPr>
          <w:rFonts w:ascii="Calibri" w:hAnsi="Calibri"/>
          <w:b/>
          <w:color w:val="525866"/>
          <w:sz w:val="22"/>
        </w:rPr>
        <w:t>Advanced packaging process control revenue growing &gt;70% YoY to ~$1.1B in 2026.</w:t>
      </w:r>
      <w:r>
        <w:rPr>
          <w:rFonts w:ascii="Calibri" w:hAnsi="Calibri"/>
          <w:color w:val="525866"/>
          <w:sz w:val="22"/>
        </w:rPr>
        <w:t xml:space="preserve"> KLA raised its advanced packaging process control revenue estimate to "approximately $1.1 billion in calendar 2026, up more than 70% year over year," above prior expectations of "high 50% growth" and "almost two times faster than the advanced packaging market." KLA noted the advanced packaging market is now growing at a "mid-to-high 30s" rate (vs. ~20% assumed at the start of the year). Hybrid bonding and HPC packages are driving "specialty process, PCB, and component inspection businesses" to grow "over 25% in calendar 2026." </w:t>
      </w:r>
      <w:r>
        <w:rPr>
          <w:rFonts w:ascii="Calibri" w:hAnsi="Calibri"/>
          <w:b/>
          <w:color w:val="525866"/>
          <w:sz w:val="22"/>
        </w:rPr>
        <w:t xml:space="preserve">Read-through: </w:t>
      </w:r>
      <w:r>
        <w:rPr>
          <w:rFonts w:ascii="Calibri" w:hAnsi="Calibri"/>
          <w:color w:val="525866"/>
          <w:sz w:val="22"/>
        </w:rPr>
        <w:t>KLA's PCB and component inspection growth of &gt;25% is a direct read-through for Qnity's AI PCB and interconnect materials within ICS. The advanced packaging market growing at mid-to-high 30s% validates Qnity's ICS growth trajectory and supports the case for continued outperformance vs. the high-single-digit sequential guide. Source: KLAC Q4 FY2026 Earnings Call, July 28, 2026.</w:t>
      </w:r>
    </w:p>
    <w:p>
      <w:pPr>
        <w:pStyle w:val="ListBullet"/>
        <w:ind w:left="360" w:hanging="360"/>
      </w:pPr>
      <w:r>
        <w:rPr>
          <w:rFonts w:ascii="Calibri" w:hAnsi="Calibri"/>
          <w:b/>
          <w:color w:val="525866"/>
          <w:sz w:val="22"/>
        </w:rPr>
        <w:t>Customer engagement "remains intense" with "numerous new fab projects and greenfield facilities actively underway."</w:t>
      </w:r>
      <w:r>
        <w:rPr>
          <w:rFonts w:ascii="Calibri" w:hAnsi="Calibri"/>
          <w:color w:val="525866"/>
          <w:sz w:val="22"/>
        </w:rPr>
        <w:t xml:space="preserve"> KLA described "unprecedented visibility" and noted customers are "accelerating their delivery expectations across all segments." Second-half 2026 growth for KLA is expected to be "approximately 20% over the first half," with "continued sequential growth into calendar 2027." </w:t>
      </w:r>
      <w:r>
        <w:rPr>
          <w:rFonts w:ascii="Calibri" w:hAnsi="Calibri"/>
          <w:b/>
          <w:color w:val="525866"/>
          <w:sz w:val="22"/>
        </w:rPr>
        <w:t xml:space="preserve">Read-through: </w:t>
      </w:r>
      <w:r>
        <w:rPr>
          <w:rFonts w:ascii="Calibri" w:hAnsi="Calibri"/>
          <w:color w:val="525866"/>
          <w:sz w:val="22"/>
        </w:rPr>
        <w:t>New fab projects and greenfield facilities drive initial materials qualifications and process-of-record wins — a direct opportunity for Qnity's semiconductor segment. The H2 2026 acceleration is consistent with Qnity's own guidance for continued sequential improvement through the year. Source: KLAC Q4 FY2026 Earnings Call, July 28, 2026.</w:t>
      </w:r>
    </w:p>
    <w:p>
      <w:pPr>
        <w:pStyle w:val="ListBullet"/>
        <w:ind w:left="360" w:hanging="360"/>
      </w:pPr>
      <w:r>
        <w:rPr>
          <w:rFonts w:ascii="Calibri" w:hAnsi="Calibri"/>
          <w:b/>
          <w:color w:val="525866"/>
          <w:sz w:val="22"/>
        </w:rPr>
        <w:t>HBM driving process control intensity "rivaling advanced logic."</w:t>
      </w:r>
      <w:r>
        <w:rPr>
          <w:rFonts w:ascii="Calibri" w:hAnsi="Calibri"/>
          <w:color w:val="525866"/>
          <w:sz w:val="22"/>
        </w:rPr>
        <w:t xml:space="preserve"> KLA noted HBM is a "unique animal" with intensity levels rivaling advanced logic, driven by customization in the base die, integration of each DRAM layer, and performance specifications. Conventional DRAM is also seeing "intensity improvements." For 2027, KLA anticipates "greenfield fabs" in DRAM and "greenfield investment in flash." </w:t>
      </w:r>
      <w:r>
        <w:rPr>
          <w:rFonts w:ascii="Calibri" w:hAnsi="Calibri"/>
          <w:b/>
          <w:color w:val="525866"/>
          <w:sz w:val="22"/>
        </w:rPr>
        <w:t xml:space="preserve">Read-through: </w:t>
      </w:r>
      <w:r>
        <w:rPr>
          <w:rFonts w:ascii="Calibri" w:hAnsi="Calibri"/>
          <w:color w:val="525866"/>
          <w:sz w:val="22"/>
        </w:rPr>
        <w:t>Rising HBM process intensity drives more CMP steps and clean cycles per wafer — directly increasing Qnity's consumables content per wafer in its highest-margin semiconductor segment. Source: KLAC Q4 FY2026 Earnings Call, July 28, 2026.</w:t>
      </w:r>
    </w:p>
    <w:p>
      <w:pPr>
        <w:pStyle w:val="ListBullet"/>
        <w:ind w:left="360" w:hanging="360"/>
      </w:pPr>
      <w:r>
        <w:rPr>
          <w:rFonts w:ascii="Calibri" w:hAnsi="Calibri"/>
          <w:b/>
          <w:color w:val="525866"/>
          <w:sz w:val="22"/>
        </w:rPr>
        <w:t>September 2026 quarter guidance: Revenue $4.0B (±$200M), gross margin 62.5% (±1pp), EPS $1.16 (±$0.10).</w:t>
      </w:r>
      <w:r>
        <w:rPr>
          <w:rFonts w:ascii="Calibri" w:hAnsi="Calibri"/>
          <w:color w:val="525866"/>
          <w:sz w:val="22"/>
        </w:rPr>
        <w:t xml:space="preserve"> Foundry/logic expected to increase to ~73% of semiconductor revenue; memory ~27% (DRAM ~90%, NAND ~10%). </w:t>
      </w:r>
      <w:r>
        <w:rPr>
          <w:rFonts w:ascii="Calibri" w:hAnsi="Calibri"/>
          <w:b/>
          <w:color w:val="525866"/>
          <w:sz w:val="22"/>
        </w:rPr>
        <w:t xml:space="preserve">Read-through: </w:t>
      </w:r>
      <w:r>
        <w:rPr>
          <w:rFonts w:ascii="Calibri" w:hAnsi="Calibri"/>
          <w:color w:val="525866"/>
          <w:sz w:val="22"/>
        </w:rPr>
        <w:t>The foundry/logic-heavy mix in KLA's September quarter is consistent with Qnity's own guidance for continued advanced logic strength and mainstream logic recovery. Source: KLAC Q4 FY2026 Earnings Call, July 28, 2026.</w:t>
      </w:r>
    </w:p>
    <w:p>
      <w:pPr>
        <w:pStyle w:val="Heading3"/>
      </w:pPr>
      <w:r>
        <w:rPr>
          <w:rFonts w:ascii="Calibri" w:hAnsi="Calibri"/>
          <w:b/>
          <w:color w:val="3B4259"/>
          <w:sz w:val="24"/>
        </w:rPr>
        <w:t>Teradyne (TER) — Reported July 29, 2026</w:t>
      </w:r>
    </w:p>
    <w:p>
      <w:r>
        <w:rPr>
          <w:rFonts w:ascii="Calibri" w:hAnsi="Calibri"/>
          <w:b/>
          <w:color w:val="525866"/>
          <w:sz w:val="22"/>
        </w:rPr>
        <w:t xml:space="preserve">Relevance to Qnity: </w:t>
      </w:r>
      <w:r>
        <w:rPr>
          <w:rFonts w:ascii="Calibri" w:hAnsi="Calibri"/>
          <w:color w:val="525866"/>
          <w:sz w:val="22"/>
        </w:rPr>
        <w:t>Teradyne is a semiconductor test equipment supplier with broad exposure to memory, compute, auto/industrial, and advanced packaging test — providing a demand signal for the end markets that drive Qnity's wafer starts and materials consumption.</w:t>
      </w:r>
    </w:p>
    <w:p>
      <w:pPr>
        <w:pStyle w:val="ListBullet"/>
        <w:ind w:left="360" w:hanging="360"/>
      </w:pPr>
      <w:r>
        <w:rPr>
          <w:rFonts w:ascii="Calibri" w:hAnsi="Calibri"/>
          <w:b/>
          <w:color w:val="525866"/>
          <w:sz w:val="22"/>
        </w:rPr>
        <w:t>WFE CapEx approaching $250B by end of decade; 300mm wafer production growing 5–10% annually.</w:t>
      </w:r>
      <w:r>
        <w:rPr>
          <w:rFonts w:ascii="Calibri" w:hAnsi="Calibri"/>
          <w:color w:val="525866"/>
          <w:sz w:val="22"/>
        </w:rPr>
        <w:t xml:space="preserve"> Teradyne cited WFE CapEx forecasted to "approach $250 billion by the end of the decade, driving 5 to 10% annual growth in 300mm wafer production and 15 to 20% CAGR in total transistor production over the mid-term." The ratio of test equipment CapEx to total CapEx has risen from ~4% in 2023 to 8% in the first five months of 2026. </w:t>
      </w:r>
      <w:r>
        <w:rPr>
          <w:rFonts w:ascii="Calibri" w:hAnsi="Calibri"/>
          <w:b/>
          <w:color w:val="525866"/>
          <w:sz w:val="22"/>
        </w:rPr>
        <w:t xml:space="preserve">Read-through: </w:t>
      </w:r>
      <w:r>
        <w:rPr>
          <w:rFonts w:ascii="Calibri" w:hAnsi="Calibri"/>
          <w:color w:val="525866"/>
          <w:sz w:val="22"/>
        </w:rPr>
        <w:t>5–10% annual growth in 300mm wafer production is a direct proxy for Qnity's MSI (wafer starts) growth — the primary demand driver for its ~90% consumables portfolio. This is consistent with Qnity's upgraded MSI outlook of mid-to-high single digits for 2026. Source: TER Q2 2026 Earnings Call, July 29, 2026.</w:t>
      </w:r>
    </w:p>
    <w:p>
      <w:pPr>
        <w:pStyle w:val="ListBullet"/>
        <w:ind w:left="360" w:hanging="360"/>
      </w:pPr>
      <w:r>
        <w:rPr>
          <w:rFonts w:ascii="Calibri" w:hAnsi="Calibri"/>
          <w:b/>
          <w:color w:val="525866"/>
          <w:sz w:val="22"/>
        </w:rPr>
        <w:t>Memory TAM for 2026 likely &gt;40% larger than 2025; NAND inflecting for 2027.</w:t>
      </w:r>
      <w:r>
        <w:rPr>
          <w:rFonts w:ascii="Calibri" w:hAnsi="Calibri"/>
          <w:color w:val="525866"/>
          <w:sz w:val="22"/>
        </w:rPr>
        <w:t xml:space="preserve"> Teradyne stated the "2026 memory TAM is likely to be more than 40% larger than 2025, with notable growth from the first half of 2026 to the second half." HBM and DDR are particularly strong. Critically, Teradyne noted it is "seeing the beginning of that inflection" in NAND, with customers "pulling for more NAND capacity looking into 2027." Memory bit production is forecast to grow at a "15 to 20% CAGR over the mid-term." </w:t>
      </w:r>
      <w:r>
        <w:rPr>
          <w:rFonts w:ascii="Calibri" w:hAnsi="Calibri"/>
          <w:b/>
          <w:color w:val="525866"/>
          <w:sz w:val="22"/>
        </w:rPr>
        <w:t xml:space="preserve">Read-through: </w:t>
      </w:r>
      <w:r>
        <w:rPr>
          <w:rFonts w:ascii="Calibri" w:hAnsi="Calibri"/>
          <w:color w:val="525866"/>
          <w:sz w:val="22"/>
        </w:rPr>
        <w:t>A 40%+ larger memory TAM in 2026 vs. 2025 implies significant capacity additions and utilization increases — directly driving Qnity's memory-related consumables volume. The NAND inflection for 2027 is a positive setup for Qnity's NAND CMP and clean materials. Source: TER Q2 2026 Earnings Call, July 29, 2026.</w:t>
      </w:r>
    </w:p>
    <w:p>
      <w:pPr>
        <w:pStyle w:val="ListBullet"/>
        <w:ind w:left="360" w:hanging="360"/>
      </w:pPr>
      <w:r>
        <w:rPr>
          <w:rFonts w:ascii="Calibri" w:hAnsi="Calibri"/>
          <w:b/>
          <w:color w:val="525866"/>
          <w:sz w:val="22"/>
        </w:rPr>
        <w:t>Advanced packaging a "sustained tailwind" through end of decade.</w:t>
      </w:r>
      <w:r>
        <w:rPr>
          <w:rFonts w:ascii="Calibri" w:hAnsi="Calibri"/>
          <w:color w:val="525866"/>
          <w:sz w:val="22"/>
        </w:rPr>
        <w:t xml:space="preserve"> Teradyne described advanced packaging as a "sustained tailwind to the compute TAM," noting "both package volume and dies per package are forecast to keep rising through the end of the decade." A single latent defect in multi-chip packages has a greater impact on final device yield, "raising test intensity per die." </w:t>
      </w:r>
      <w:r>
        <w:rPr>
          <w:rFonts w:ascii="Calibri" w:hAnsi="Calibri"/>
          <w:b/>
          <w:color w:val="525866"/>
          <w:sz w:val="22"/>
        </w:rPr>
        <w:t xml:space="preserve">Read-through: </w:t>
      </w:r>
      <w:r>
        <w:rPr>
          <w:rFonts w:ascii="Calibri" w:hAnsi="Calibri"/>
          <w:color w:val="525866"/>
          <w:sz w:val="22"/>
        </w:rPr>
        <w:t>Rising package complexity and die count per package directly increases the number of process steps and materials consumed per final device — a structural content growth driver for Qnity's advanced packaging materials. Source: TER Q2 2026 Earnings Call, July 29, 2026.</w:t>
      </w:r>
    </w:p>
    <w:p>
      <w:pPr>
        <w:pStyle w:val="ListBullet"/>
        <w:ind w:left="360" w:hanging="360"/>
      </w:pPr>
      <w:r>
        <w:rPr>
          <w:rFonts w:ascii="Calibri" w:hAnsi="Calibri"/>
          <w:b/>
          <w:color w:val="525866"/>
          <w:sz w:val="22"/>
        </w:rPr>
        <w:t>Auto/industrial strengthening; expected to reach or exceed prior peaks in 2027.</w:t>
      </w:r>
      <w:r>
        <w:rPr>
          <w:rFonts w:ascii="Calibri" w:hAnsi="Calibri"/>
          <w:color w:val="525866"/>
          <w:sz w:val="22"/>
        </w:rPr>
        <w:t xml:space="preserve"> Teradyne noted auto and industrial "continued to strengthen over last year, driven by power management demand increases for AI data center build-outs," and that "it's likely 2027 is going to be up to or exceeding prior peaks in that space." </w:t>
      </w:r>
      <w:r>
        <w:rPr>
          <w:rFonts w:ascii="Calibri" w:hAnsi="Calibri"/>
          <w:b/>
          <w:color w:val="525866"/>
          <w:sz w:val="22"/>
        </w:rPr>
        <w:t xml:space="preserve">Read-through: </w:t>
      </w:r>
      <w:r>
        <w:rPr>
          <w:rFonts w:ascii="Calibri" w:hAnsi="Calibri"/>
          <w:color w:val="525866"/>
          <w:sz w:val="22"/>
        </w:rPr>
        <w:t>Auto/industrial recovery is a positive for mature node utilization rates — consistent with Qnity's own commentary on mainstream logic utilization moving from mid-70s to upper-70s/low-80s. Source: TER Q2 2026 Earnings Call, July 29, 2026.</w:t>
      </w:r>
    </w:p>
    <w:p>
      <w:pPr>
        <w:pStyle w:val="ListBullet"/>
        <w:ind w:left="360" w:hanging="360"/>
      </w:pPr>
      <w:r>
        <w:rPr>
          <w:rFonts w:ascii="Calibri" w:hAnsi="Calibri"/>
          <w:b/>
          <w:color w:val="525866"/>
          <w:sz w:val="22"/>
        </w:rPr>
        <w:t>September 2026 quarter guidance: Revenue $1.2–$1.3B, gross margin 58–59%, non-GAAP EPS $1.35–$2.15.</w:t>
      </w:r>
      <w:r>
        <w:rPr>
          <w:rFonts w:ascii="Calibri" w:hAnsi="Calibri"/>
          <w:color w:val="525866"/>
          <w:sz w:val="22"/>
        </w:rPr>
        <w:t xml:space="preserve"> Teradyne updated its first-half weighted revenue to "50 to 52% of annual revenue," implying a stronger second half. The H2 2026 outlook has "strengthened" with "increased visibility and continued robust demand signals." Growth expected in memory, auto/industrial, product test, and robotics in H2 2026. </w:t>
      </w:r>
      <w:r>
        <w:rPr>
          <w:rFonts w:ascii="Calibri" w:hAnsi="Calibri"/>
          <w:b/>
          <w:color w:val="525866"/>
          <w:sz w:val="22"/>
        </w:rPr>
        <w:t xml:space="preserve">Read-through: </w:t>
      </w:r>
      <w:r>
        <w:rPr>
          <w:rFonts w:ascii="Calibri" w:hAnsi="Calibri"/>
          <w:color w:val="525866"/>
          <w:sz w:val="22"/>
        </w:rPr>
        <w:t>A stronger H2 2026 for Teradyne implies continued strong wafer production activity through Q3 and Q4 2026, supporting Qnity's full-year guidance trajectory. Source: TER Q2 2026 Earnings Call, July 29,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Relevant Qnity Segment</w:t>
            </w:r>
          </w:p>
        </w:tc>
        <w:tc>
          <w:tcPr>
            <w:tcW w:type="dxa" w:w="2160"/>
            <w:shd w:val="clear" w:color="auto" w:fill="3B4259"/>
          </w:tcPr>
          <w:p>
            <w:r>
              <w:rPr>
                <w:rFonts w:ascii="Calibri" w:hAnsi="Calibri"/>
                <w:b/>
                <w:color w:val="FFFFFF"/>
                <w:sz w:val="22"/>
              </w:rPr>
              <w:t>Source</w:t>
            </w:r>
          </w:p>
        </w:tc>
      </w:tr>
      <w:tr>
        <w:tc>
          <w:tcPr>
            <w:tcW w:type="dxa" w:w="2160"/>
          </w:tcPr>
          <w:p>
            <w:r>
              <w:rPr>
                <w:rFonts w:ascii="Calibri" w:hAnsi="Calibri"/>
                <w:sz w:val="22"/>
              </w:rPr>
              <w:t>2026 WFE raised to low-$150B range</w:t>
            </w:r>
          </w:p>
        </w:tc>
        <w:tc>
          <w:tcPr>
            <w:tcW w:type="dxa" w:w="2160"/>
          </w:tcPr>
          <w:p>
            <w:r>
              <w:rPr>
                <w:rFonts w:ascii="Calibri" w:hAnsi="Calibri"/>
                <w:b/>
                <w:color w:val="30A46C"/>
                <w:sz w:val="22"/>
              </w:rPr>
              <w:t>Strongly positive</w:t>
            </w:r>
          </w:p>
        </w:tc>
        <w:tc>
          <w:tcPr>
            <w:tcW w:type="dxa" w:w="2160"/>
          </w:tcPr>
          <w:p>
            <w:r>
              <w:rPr>
                <w:rFonts w:ascii="Calibri" w:hAnsi="Calibri"/>
                <w:sz w:val="22"/>
              </w:rPr>
              <w:t>Semiconductor (consumables volume)</w:t>
            </w:r>
          </w:p>
        </w:tc>
        <w:tc>
          <w:tcPr>
            <w:tcW w:type="dxa" w:w="2160"/>
          </w:tcPr>
          <w:p>
            <w:r>
              <w:rPr>
                <w:rFonts w:ascii="Calibri" w:hAnsi="Calibri"/>
                <w:sz w:val="22"/>
              </w:rPr>
              <w:t>LRCX, KLAC</w:t>
            </w:r>
          </w:p>
        </w:tc>
      </w:tr>
      <w:tr>
        <w:tc>
          <w:tcPr>
            <w:tcW w:type="dxa" w:w="2160"/>
          </w:tcPr>
          <w:p>
            <w:r>
              <w:rPr>
                <w:rFonts w:ascii="Calibri" w:hAnsi="Calibri"/>
                <w:sz w:val="22"/>
              </w:rPr>
              <w:t>2027 WFE ~$190B (mid-20s% growth)</w:t>
            </w:r>
          </w:p>
        </w:tc>
        <w:tc>
          <w:tcPr>
            <w:tcW w:type="dxa" w:w="2160"/>
          </w:tcPr>
          <w:p>
            <w:r>
              <w:rPr>
                <w:rFonts w:ascii="Calibri" w:hAnsi="Calibri"/>
                <w:b/>
                <w:color w:val="30A46C"/>
                <w:sz w:val="22"/>
              </w:rPr>
              <w:t>Strongly positive</w:t>
            </w:r>
          </w:p>
        </w:tc>
        <w:tc>
          <w:tcPr>
            <w:tcW w:type="dxa" w:w="2160"/>
          </w:tcPr>
          <w:p>
            <w:r>
              <w:rPr>
                <w:rFonts w:ascii="Calibri" w:hAnsi="Calibri"/>
                <w:sz w:val="22"/>
              </w:rPr>
              <w:t>Both segments (FY2027 estimates)</w:t>
            </w:r>
          </w:p>
        </w:tc>
        <w:tc>
          <w:tcPr>
            <w:tcW w:type="dxa" w:w="2160"/>
          </w:tcPr>
          <w:p>
            <w:r>
              <w:rPr>
                <w:rFonts w:ascii="Calibri" w:hAnsi="Calibri"/>
                <w:sz w:val="22"/>
              </w:rPr>
              <w:t>KLAC</w:t>
            </w:r>
          </w:p>
        </w:tc>
      </w:tr>
      <w:tr>
        <w:tc>
          <w:tcPr>
            <w:tcW w:type="dxa" w:w="2160"/>
          </w:tcPr>
          <w:p>
            <w:r>
              <w:rPr>
                <w:rFonts w:ascii="Calibri" w:hAnsi="Calibri"/>
                <w:sz w:val="22"/>
              </w:rPr>
              <w:t>Advanced packaging growing &gt;70% YoY in 2026</w:t>
            </w:r>
          </w:p>
        </w:tc>
        <w:tc>
          <w:tcPr>
            <w:tcW w:type="dxa" w:w="2160"/>
          </w:tcPr>
          <w:p>
            <w:r>
              <w:rPr>
                <w:rFonts w:ascii="Calibri" w:hAnsi="Calibri"/>
                <w:b/>
                <w:color w:val="30A46C"/>
                <w:sz w:val="22"/>
              </w:rPr>
              <w:t>Strongly positive</w:t>
            </w:r>
          </w:p>
        </w:tc>
        <w:tc>
          <w:tcPr>
            <w:tcW w:type="dxa" w:w="2160"/>
          </w:tcPr>
          <w:p>
            <w:r>
              <w:rPr>
                <w:rFonts w:ascii="Calibri" w:hAnsi="Calibri"/>
                <w:sz w:val="22"/>
              </w:rPr>
              <w:t>ICS (advanced packaging materials)</w:t>
            </w:r>
          </w:p>
        </w:tc>
        <w:tc>
          <w:tcPr>
            <w:tcW w:type="dxa" w:w="2160"/>
          </w:tcPr>
          <w:p>
            <w:r>
              <w:rPr>
                <w:rFonts w:ascii="Calibri" w:hAnsi="Calibri"/>
                <w:sz w:val="22"/>
              </w:rPr>
              <w:t>LRCX, KLAC</w:t>
            </w:r>
          </w:p>
        </w:tc>
      </w:tr>
      <w:tr>
        <w:tc>
          <w:tcPr>
            <w:tcW w:type="dxa" w:w="2160"/>
          </w:tcPr>
          <w:p>
            <w:r>
              <w:rPr>
                <w:rFonts w:ascii="Calibri" w:hAnsi="Calibri"/>
                <w:sz w:val="22"/>
              </w:rPr>
              <w:t>Memory TAM &gt;40% larger in 2026 vs. 2025</w:t>
            </w:r>
          </w:p>
        </w:tc>
        <w:tc>
          <w:tcPr>
            <w:tcW w:type="dxa" w:w="2160"/>
          </w:tcPr>
          <w:p>
            <w:r>
              <w:rPr>
                <w:rFonts w:ascii="Calibri" w:hAnsi="Calibri"/>
                <w:b/>
                <w:color w:val="30A46C"/>
                <w:sz w:val="22"/>
              </w:rPr>
              <w:t>Positive</w:t>
            </w:r>
          </w:p>
        </w:tc>
        <w:tc>
          <w:tcPr>
            <w:tcW w:type="dxa" w:w="2160"/>
          </w:tcPr>
          <w:p>
            <w:r>
              <w:rPr>
                <w:rFonts w:ascii="Calibri" w:hAnsi="Calibri"/>
                <w:sz w:val="22"/>
              </w:rPr>
              <w:t>Semiconductor (DRAM/HBM CMP &amp; cleans)</w:t>
            </w:r>
          </w:p>
        </w:tc>
        <w:tc>
          <w:tcPr>
            <w:tcW w:type="dxa" w:w="2160"/>
          </w:tcPr>
          <w:p>
            <w:r>
              <w:rPr>
                <w:rFonts w:ascii="Calibri" w:hAnsi="Calibri"/>
                <w:sz w:val="22"/>
              </w:rPr>
              <w:t>TER</w:t>
            </w:r>
          </w:p>
        </w:tc>
      </w:tr>
      <w:tr>
        <w:tc>
          <w:tcPr>
            <w:tcW w:type="dxa" w:w="2160"/>
          </w:tcPr>
          <w:p>
            <w:r>
              <w:rPr>
                <w:rFonts w:ascii="Calibri" w:hAnsi="Calibri"/>
                <w:sz w:val="22"/>
              </w:rPr>
              <w:t>NAND inflecting for 2027 capacity additions</w:t>
            </w:r>
          </w:p>
        </w:tc>
        <w:tc>
          <w:tcPr>
            <w:tcW w:type="dxa" w:w="2160"/>
          </w:tcPr>
          <w:p>
            <w:r>
              <w:rPr>
                <w:rFonts w:ascii="Calibri" w:hAnsi="Calibri"/>
                <w:b/>
                <w:color w:val="30A46C"/>
                <w:sz w:val="22"/>
              </w:rPr>
              <w:t>Positive (2027 setup)</w:t>
            </w:r>
          </w:p>
        </w:tc>
        <w:tc>
          <w:tcPr>
            <w:tcW w:type="dxa" w:w="2160"/>
          </w:tcPr>
          <w:p>
            <w:r>
              <w:rPr>
                <w:rFonts w:ascii="Calibri" w:hAnsi="Calibri"/>
                <w:sz w:val="22"/>
              </w:rPr>
              <w:t>Semiconductor (NAND CMP &amp; cleans)</w:t>
            </w:r>
          </w:p>
        </w:tc>
        <w:tc>
          <w:tcPr>
            <w:tcW w:type="dxa" w:w="2160"/>
          </w:tcPr>
          <w:p>
            <w:r>
              <w:rPr>
                <w:rFonts w:ascii="Calibri" w:hAnsi="Calibri"/>
                <w:sz w:val="22"/>
              </w:rPr>
              <w:t>LRCX, TER</w:t>
            </w:r>
          </w:p>
        </w:tc>
      </w:tr>
      <w:tr>
        <w:tc>
          <w:tcPr>
            <w:tcW w:type="dxa" w:w="2160"/>
          </w:tcPr>
          <w:p>
            <w:r>
              <w:rPr>
                <w:rFonts w:ascii="Calibri" w:hAnsi="Calibri"/>
                <w:sz w:val="22"/>
              </w:rPr>
              <w:t>HBM intensity rivaling advanced logic</w:t>
            </w:r>
          </w:p>
        </w:tc>
        <w:tc>
          <w:tcPr>
            <w:tcW w:type="dxa" w:w="2160"/>
          </w:tcPr>
          <w:p>
            <w:r>
              <w:rPr>
                <w:rFonts w:ascii="Calibri" w:hAnsi="Calibri"/>
                <w:b/>
                <w:color w:val="30A46C"/>
                <w:sz w:val="22"/>
              </w:rPr>
              <w:t>Positive</w:t>
            </w:r>
          </w:p>
        </w:tc>
        <w:tc>
          <w:tcPr>
            <w:tcW w:type="dxa" w:w="2160"/>
          </w:tcPr>
          <w:p>
            <w:r>
              <w:rPr>
                <w:rFonts w:ascii="Calibri" w:hAnsi="Calibri"/>
                <w:sz w:val="22"/>
              </w:rPr>
              <w:t>Semiconductor (HBM CMP content/wafer)</w:t>
            </w:r>
          </w:p>
        </w:tc>
        <w:tc>
          <w:tcPr>
            <w:tcW w:type="dxa" w:w="2160"/>
          </w:tcPr>
          <w:p>
            <w:r>
              <w:rPr>
                <w:rFonts w:ascii="Calibri" w:hAnsi="Calibri"/>
                <w:sz w:val="22"/>
              </w:rPr>
              <w:t>KLAC</w:t>
            </w:r>
          </w:p>
        </w:tc>
      </w:tr>
      <w:tr>
        <w:tc>
          <w:tcPr>
            <w:tcW w:type="dxa" w:w="2160"/>
          </w:tcPr>
          <w:p>
            <w:r>
              <w:rPr>
                <w:rFonts w:ascii="Calibri" w:hAnsi="Calibri"/>
                <w:sz w:val="22"/>
              </w:rPr>
              <w:t>300mm wafer production +5–10% annually</w:t>
            </w:r>
          </w:p>
        </w:tc>
        <w:tc>
          <w:tcPr>
            <w:tcW w:type="dxa" w:w="2160"/>
          </w:tcPr>
          <w:p>
            <w:r>
              <w:rPr>
                <w:rFonts w:ascii="Calibri" w:hAnsi="Calibri"/>
                <w:b/>
                <w:color w:val="30A46C"/>
                <w:sz w:val="22"/>
              </w:rPr>
              <w:t>Positive</w:t>
            </w:r>
          </w:p>
        </w:tc>
        <w:tc>
          <w:tcPr>
            <w:tcW w:type="dxa" w:w="2160"/>
          </w:tcPr>
          <w:p>
            <w:r>
              <w:rPr>
                <w:rFonts w:ascii="Calibri" w:hAnsi="Calibri"/>
                <w:sz w:val="22"/>
              </w:rPr>
              <w:t>Both segments (MSI proxy)</w:t>
            </w:r>
          </w:p>
        </w:tc>
        <w:tc>
          <w:tcPr>
            <w:tcW w:type="dxa" w:w="2160"/>
          </w:tcPr>
          <w:p>
            <w:r>
              <w:rPr>
                <w:rFonts w:ascii="Calibri" w:hAnsi="Calibri"/>
                <w:sz w:val="22"/>
              </w:rPr>
              <w:t>TER</w:t>
            </w:r>
          </w:p>
        </w:tc>
      </w:tr>
      <w:tr>
        <w:tc>
          <w:tcPr>
            <w:tcW w:type="dxa" w:w="2160"/>
          </w:tcPr>
          <w:p>
            <w:r>
              <w:rPr>
                <w:rFonts w:ascii="Calibri" w:hAnsi="Calibri"/>
                <w:sz w:val="22"/>
              </w:rPr>
              <w:t>Auto/industrial recovery; mature node utilization rising</w:t>
            </w:r>
          </w:p>
        </w:tc>
        <w:tc>
          <w:tcPr>
            <w:tcW w:type="dxa" w:w="2160"/>
          </w:tcPr>
          <w:p>
            <w:r>
              <w:rPr>
                <w:rFonts w:ascii="Calibri" w:hAnsi="Calibri"/>
                <w:b/>
                <w:color w:val="30A46C"/>
                <w:sz w:val="22"/>
              </w:rPr>
              <w:t>Positive</w:t>
            </w:r>
          </w:p>
        </w:tc>
        <w:tc>
          <w:tcPr>
            <w:tcW w:type="dxa" w:w="2160"/>
          </w:tcPr>
          <w:p>
            <w:r>
              <w:rPr>
                <w:rFonts w:ascii="Calibri" w:hAnsi="Calibri"/>
                <w:sz w:val="22"/>
              </w:rPr>
              <w:t>Semiconductor (mainstream logic)</w:t>
            </w:r>
          </w:p>
        </w:tc>
        <w:tc>
          <w:tcPr>
            <w:tcW w:type="dxa" w:w="2160"/>
          </w:tcPr>
          <w:p>
            <w:r>
              <w:rPr>
                <w:rFonts w:ascii="Calibri" w:hAnsi="Calibri"/>
                <w:sz w:val="22"/>
              </w:rPr>
              <w:t>TER</w:t>
            </w:r>
          </w:p>
        </w:tc>
      </w:tr>
      <w:tr>
        <w:tc>
          <w:tcPr>
            <w:tcW w:type="dxa" w:w="2160"/>
          </w:tcPr>
          <w:p>
            <w:r>
              <w:rPr>
                <w:rFonts w:ascii="Calibri" w:hAnsi="Calibri"/>
                <w:sz w:val="22"/>
              </w:rPr>
              <w:t>Mobile softness in H2 2026</w:t>
            </w:r>
          </w:p>
        </w:tc>
        <w:tc>
          <w:tcPr>
            <w:tcW w:type="dxa" w:w="2160"/>
          </w:tcPr>
          <w:p>
            <w:r>
              <w:rPr>
                <w:rFonts w:ascii="Calibri" w:hAnsi="Calibri"/>
                <w:b/>
                <w:color w:val="E5484D"/>
                <w:sz w:val="22"/>
              </w:rPr>
              <w:t>Modest negative</w:t>
            </w:r>
          </w:p>
        </w:tc>
        <w:tc>
          <w:tcPr>
            <w:tcW w:type="dxa" w:w="2160"/>
          </w:tcPr>
          <w:p>
            <w:r>
              <w:rPr>
                <w:rFonts w:ascii="Calibri" w:hAnsi="Calibri"/>
                <w:sz w:val="22"/>
              </w:rPr>
              <w:t>ICS (consumer electronics PCBs)</w:t>
            </w:r>
          </w:p>
        </w:tc>
        <w:tc>
          <w:tcPr>
            <w:tcW w:type="dxa" w:w="2160"/>
          </w:tcPr>
          <w:p>
            <w:r>
              <w:rPr>
                <w:rFonts w:ascii="Calibri" w:hAnsi="Calibri"/>
                <w:sz w:val="22"/>
              </w:rPr>
              <w:t>TER</w:t>
            </w:r>
          </w:p>
        </w:tc>
      </w:tr>
      <w:tr>
        <w:tc>
          <w:tcPr>
            <w:tcW w:type="dxa" w:w="2160"/>
          </w:tcPr>
          <w:p>
            <w:r>
              <w:rPr>
                <w:rFonts w:ascii="Calibri" w:hAnsi="Calibri"/>
                <w:sz w:val="22"/>
              </w:rPr>
              <w:t>Supply chain lead times "challenging"</w:t>
            </w:r>
          </w:p>
        </w:tc>
        <w:tc>
          <w:tcPr>
            <w:tcW w:type="dxa" w:w="2160"/>
          </w:tcPr>
          <w:p>
            <w:r>
              <w:rPr>
                <w:rFonts w:ascii="Calibri" w:hAnsi="Calibri"/>
                <w:b/>
                <w:color w:val="002FA7"/>
                <w:sz w:val="22"/>
              </w:rPr>
              <w:t>Neutral / watch</w:t>
            </w:r>
          </w:p>
        </w:tc>
        <w:tc>
          <w:tcPr>
            <w:tcW w:type="dxa" w:w="2160"/>
          </w:tcPr>
          <w:p>
            <w:r>
              <w:rPr>
                <w:rFonts w:ascii="Calibri" w:hAnsi="Calibri"/>
                <w:sz w:val="22"/>
              </w:rPr>
              <w:t>Both segments (raw material costs)</w:t>
            </w:r>
          </w:p>
        </w:tc>
        <w:tc>
          <w:tcPr>
            <w:tcW w:type="dxa" w:w="2160"/>
          </w:tcPr>
          <w:p>
            <w:r>
              <w:rPr>
                <w:rFonts w:ascii="Calibri" w:hAnsi="Calibri"/>
                <w:sz w:val="22"/>
              </w:rPr>
              <w:t>LRCX</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