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RL (Ralph Lauren) before writing the preview. Let me start by gathering recent filings, transcripts, and news.Let me read the most recent quarter's release and call, plus the year-ago Q1 for comparison.Let me get the year-ago Q1 (fiscal 2026 Q1) results to establish the comparison base, plus recent stock performance and news.Let me pull a bit more recent news context around RL and the tariff situation.I have what I need. Let me quickly compute a couple of stock-return figures for context.Here is the earnings preview.</w:t>
      </w:r>
    </w:p>
    <w:p>
      <w:r>
        <w:pict>
          <v:rect style="width:0;height:1.5pt" o:hralign="center" o:hrstd="t" o:hr="t"/>
        </w:pict>
      </w:r>
    </w:p>
    <w:bookmarkStart w:id="18" w:name="ralph-lauren-rl--earnings-preview"/>
    <w:p>
      <w:pPr>
        <w:pStyle w:val="Heading1"/>
      </w:pPr>
      <w:r>
        <w:t xml:space="preserve">Ralph Lauren (RL) — Earnings Preview</w:t>
      </w:r>
    </w:p>
    <w:bookmarkStart w:id="9" w:name="X8b44c57f0a9f107035e9bf4fd743ae69429168f"/>
    <w:p>
      <w:pPr>
        <w:pStyle w:val="Heading3"/>
      </w:pPr>
      <w:r>
        <w:t xml:space="preserve">Fiscal 2027 First Quarter (quarter ended ~June 2026) · Reports Thursday, August 6, 2026, before market open</w:t>
      </w:r>
    </w:p>
    <w:bookmarkEnd w:id="9"/>
    <w:bookmarkStart w:id="10" w:name="the-setup-in-one-paragraph"/>
    <w:p>
      <w:pPr>
        <w:pStyle w:val="Heading2"/>
      </w:pPr>
      <w:r>
        <w:t xml:space="preserve">The setup in one paragraph</w:t>
      </w:r>
    </w:p>
    <w:p>
      <w:pPr>
        <w:pStyle w:val="FirstParagraph"/>
      </w:pPr>
      <w:r>
        <w:t xml:space="preserve">RL enters this print riding one of the strongest multi-year execution stories in apparel. Fiscal 2026 was the first year of the "Next Great Chapter: Drive" plan, and management beat and raised its way through it — full-year revenue crossed **</w:t>
      </w:r>
      <m:oMath>
        <m:r>
          <m:t>8.1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f</m:t>
        </m:r>
        <m:r>
          <m:t>o</m:t>
        </m:r>
        <m:r>
          <m:t>r</m:t>
        </m:r>
        <m:r>
          <m:t>t</m:t>
        </m:r>
        <m:r>
          <m:t>h</m:t>
        </m:r>
        <m:r>
          <m:t>e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12</m:t>
        </m:r>
      </m:oMath>
      <w:r>
        <w:t xml:space="preserve">414). Sentiment going in is bullish; the pre-announcement news digest frames the market as expecting a</w:t>
      </w:r>
      <w:r>
        <w:t xml:space="preserve"> </w:t>
      </w:r>
      <w:r>
        <w:rPr>
          <w:b/>
          <w:bCs/>
        </w:rPr>
        <w:t xml:space="preserve">"beat-and-raise or beat-and-reiterate."</w:t>
      </w:r>
      <w:r>
        <w:t xml:space="preserve"> </w:t>
      </w:r>
      <w:r>
        <w:t xml:space="preserve">That is also the risk: the bar is high, and RL has shown it can beat and</w:t>
      </w:r>
      <w:r>
        <w:t xml:space="preserve"> </w:t>
      </w:r>
      <w:r>
        <w:rPr>
          <w:i/>
          <w:iCs/>
        </w:rPr>
        <w:t xml:space="preserve">still</w:t>
      </w:r>
      <w:r>
        <w:t xml:space="preserve"> </w:t>
      </w:r>
      <w:r>
        <w:t xml:space="preserve">sell off (shares fell</w:t>
      </w:r>
      <w:r>
        <w:t xml:space="preserve"> </w:t>
      </w:r>
      <w:r>
        <w:rPr>
          <w:b/>
          <w:bCs/>
        </w:rPr>
        <w:t xml:space="preserve">~6.5%</w:t>
      </w:r>
      <w:r>
        <w:t xml:space="preserve"> </w:t>
      </w:r>
      <w:r>
        <w:t xml:space="preserve">on the year-ago FQ1 report last August despite an outright beat-and-raise).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company-guided-for-fq1-fy27"/>
    <w:p>
      <w:pPr>
        <w:pStyle w:val="Heading2"/>
      </w:pPr>
      <w:r>
        <w:t xml:space="preserve">What the company guided for FQ1 FY27</w:t>
      </w:r>
    </w:p>
    <w:p>
      <w:pPr>
        <w:pStyle w:val="FirstParagraph"/>
      </w:pPr>
      <w:r>
        <w:t xml:space="preserve">On the May 21 Q4 call, management set a first-quarter framework: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mid- to high-single-digit</w:t>
      </w:r>
      <w:r>
        <w:t xml:space="preserve"> </w:t>
      </w:r>
      <w:r>
        <w:t xml:space="preserve">constant-currency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Operating margin:</w:t>
      </w:r>
      <w:r>
        <w:t xml:space="preserve"> </w:t>
      </w:r>
      <w:r>
        <w:rPr>
          <w:b/>
          <w:bCs/>
        </w:rPr>
        <w:t xml:space="preserve">+80 to 120 bps</w:t>
      </w:r>
      <w:r>
        <w:t xml:space="preserve"> </w:t>
      </w:r>
      <w:r>
        <w:t xml:space="preserve">in constant currency,</w:t>
      </w:r>
      <w:r>
        <w:t xml:space="preserve"> </w:t>
      </w:r>
      <w:r>
        <w:rPr>
          <w:b/>
          <w:bCs/>
        </w:rPr>
        <w:t xml:space="preserve">led by gross margin expansion</w:t>
      </w:r>
      <w:r>
        <w:t xml:space="preserve"> </w:t>
      </w:r>
      <w:r>
        <w:t xml:space="preserve">(AUR + favorable geographic/channel/product mix more than offsetting a modest year-over-year step-up in tariff costs)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AUR:</w:t>
      </w:r>
      <w:r>
        <w:t xml:space="preserve"> </w:t>
      </w:r>
      <w:r>
        <w:rPr>
          <w:b/>
          <w:bCs/>
        </w:rPr>
        <w:t xml:space="preserve">high-single-digit</w:t>
      </w:r>
      <w:r>
        <w:t xml:space="preserve"> </w:t>
      </w:r>
      <w:r>
        <w:t xml:space="preserve">growth, with contributions from all regions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Marketing:</w:t>
      </w:r>
      <w:r>
        <w:t xml:space="preserve"> </w:t>
      </w:r>
      <w:r>
        <w:t xml:space="preserve">higher year-over-year, but fully offset by leverage in non-marketing opex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FX:</w:t>
      </w:r>
      <w:r>
        <w:t xml:space="preserve"> </w:t>
      </w:r>
      <w:r>
        <w:t xml:space="preserve">roughly neutral to revenue and margins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Tax rate:</w:t>
      </w:r>
      <w:r>
        <w:t xml:space="preserve"> </w:t>
      </w:r>
      <w:r>
        <w:rPr>
          <w:b/>
          <w:bCs/>
        </w:rPr>
        <w:t xml:space="preserve">22%–23%</w:t>
      </w:r>
      <w:r>
        <w:t xml:space="preserve"> </w:t>
      </w:r>
      <w:r>
        <w:t xml:space="preserve">(a headwind vs. the unusually low ~20.7% a year ago)</w:t>
      </w:r>
    </w:p>
    <w:bookmarkEnd w:id="11"/>
    <w:bookmarkStart w:id="12" w:name="what-the-street-is-looking-for"/>
    <w:p>
      <w:pPr>
        <w:pStyle w:val="Heading2"/>
      </w:pPr>
      <w:r>
        <w:t xml:space="preserve">What the Street is looking for</w:t>
      </w:r>
    </w:p>
    <w:p>
      <w:pPr>
        <w:pStyle w:val="FirstParagraph"/>
      </w:pPr>
      <w:r>
        <w:t xml:space="preserve">Per the pre-earnings digest, consensus sits at roughly: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~8% FX-neutral sales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~73.25% gross margin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~18.3% operating margin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~$4.29 EPS</w:t>
      </w:r>
    </w:p>
    <w:p>
      <w:pPr>
        <w:pStyle w:val="FirstParagraph"/>
      </w:pPr>
      <w:r>
        <w:t xml:space="preserve">Two things stand out. First, the Street's ~8% sales and ~18.3% operating margin sit at or above the high end of company guidance — consistent with an expectation that RL beats its own conservative framework again. Second,</w:t>
      </w:r>
      <w:r>
        <w:t xml:space="preserve"> </w:t>
      </w:r>
      <w:r>
        <w:rPr>
          <w:b/>
          <w:bCs/>
        </w:rPr>
        <w:t xml:space="preserve">$4.29 EPS would be +14% vs. last year's $3.77 adjusted</w:t>
      </w:r>
      <w:r>
        <w:t xml:space="preserve">, a healthy step-up even against a higher tax rate.</w:t>
      </w:r>
    </w:p>
    <w:bookmarkEnd w:id="12"/>
    <w:bookmarkStart w:id="13" w:name="the-numbers-youre-lapping-fq1-fy26"/>
    <w:p>
      <w:pPr>
        <w:pStyle w:val="Heading2"/>
      </w:pPr>
      <w:r>
        <w:t xml:space="preserve">The numbers you're lapping (FQ1 FY26)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Year-ago FQ1 FY26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$1,719M (+14% rep / +11% cc)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DTC comp</w:t>
            </w:r>
          </w:p>
        </w:tc>
        <w:tc>
          <w:tcPr/>
          <w:p>
            <w:pPr>
              <w:pStyle w:val="Compact"/>
            </w:pPr>
            <w:r>
              <w:t xml:space="preserve">+13%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AUR</w:t>
            </w:r>
          </w:p>
        </w:tc>
        <w:tc>
          <w:tcPr/>
          <w:p>
            <w:pPr>
              <w:pStyle w:val="Compact"/>
            </w:pPr>
            <w:r>
              <w:t xml:space="preserve">+14%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gross margin</w:t>
            </w:r>
          </w:p>
        </w:tc>
        <w:tc>
          <w:tcPr/>
          <w:p>
            <w:pPr>
              <w:pStyle w:val="Compact"/>
            </w:pPr>
            <w:r>
              <w:t xml:space="preserve">72.3% (+180 bps)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operating margin</w:t>
            </w:r>
          </w:p>
        </w:tc>
        <w:tc>
          <w:tcPr/>
          <w:p>
            <w:pPr>
              <w:pStyle w:val="Compact"/>
            </w:pPr>
            <w:r>
              <w:t xml:space="preserve">17.0% (+270 bps)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EPS</w:t>
            </w:r>
          </w:p>
        </w:tc>
        <w:tc>
          <w:tcPr/>
          <w:p>
            <w:pPr>
              <w:pStyle w:val="Compact"/>
            </w:pPr>
            <w:r>
              <w:t xml:space="preserve">$3.77 (+40%)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North America / Europe / Asia rev</w:t>
            </w:r>
          </w:p>
        </w:tc>
        <w:tc>
          <w:tcPr/>
          <w:p>
            <w:pPr>
              <w:pStyle w:val="Compact"/>
            </w:pPr>
            <w:r>
              <w:t xml:space="preserve">+8% / +10% cc / +19% cc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China</w:t>
            </w:r>
          </w:p>
        </w:tc>
        <w:tc>
          <w:tcPr/>
          <w:p>
            <w:pPr>
              <w:pStyle w:val="Compact"/>
            </w:pPr>
            <w:r>
              <w:t xml:space="preserve">+30%+</w:t>
            </w:r>
          </w:p>
        </w:tc>
      </w:tr>
    </w:tbl>
    <w:p>
      <w:pPr>
        <w:pStyle w:val="BodyText"/>
      </w:pPr>
      <w:r>
        <w:t xml:space="preserve">These are demanding compares, particularly Asia/China and the +14% AUR. Management has explicitly guided AUR to a "more normalized" mid-single-digit pace for the full year (high-single in Q1), so watch whether AUR decelerates gracefully or whether unit growth has to carry more of the load.</w:t>
      </w:r>
    </w:p>
    <w:p>
      <w:r>
        <w:pict>
          <v:rect style="width:0;height:1.5pt" o:hralign="center" o:hrstd="t" o:hr="t"/>
        </w:pict>
      </w:r>
    </w:p>
    <w:bookmarkEnd w:id="13"/>
    <w:bookmarkStart w:id="14" w:name="five-things-that-will-move-the-stock"/>
    <w:p>
      <w:pPr>
        <w:pStyle w:val="Heading2"/>
      </w:pPr>
      <w:r>
        <w:t xml:space="preserve">Five things that will move the stock</w:t>
      </w:r>
    </w:p>
    <w:p>
      <w:pPr>
        <w:pStyle w:val="FirstParagraph"/>
      </w:pPr>
      <w:r>
        <w:rPr>
          <w:b/>
          <w:bCs/>
        </w:rPr>
        <w:t xml:space="preserve">1. AUR durability.</w:t>
      </w:r>
      <w:r>
        <w:t xml:space="preserve"> </w:t>
      </w:r>
      <w:r>
        <w:t xml:space="preserve">AUR growth is the engine of the whole margin story — RL is on roughly its</w:t>
      </w:r>
      <w:r>
        <w:t xml:space="preserve"> </w:t>
      </w:r>
      <w:r>
        <w:rPr>
          <w:b/>
          <w:bCs/>
        </w:rPr>
        <w:t xml:space="preserve">36th consecutive quarter</w:t>
      </w:r>
      <w:r>
        <w:t xml:space="preserve"> </w:t>
      </w:r>
      <w:r>
        <w:t xml:space="preserve">of AUR growth, with about half driven by full-price selling/reduced discounting and half by mix. High-single-digit AUR is guided for Q1; any sign the pricing/mix lever is fatiguing (especially in a softer Europe) would be a negative read-through to the gross-margin trajectory.</w:t>
      </w:r>
    </w:p>
    <w:p>
      <w:pPr>
        <w:pStyle w:val="BodyText"/>
      </w:pPr>
      <w:r>
        <w:rPr>
          <w:b/>
          <w:bCs/>
        </w:rPr>
        <w:t xml:space="preserve">2. China / Asia momentum vs. tough compares.</w:t>
      </w:r>
      <w:r>
        <w:t xml:space="preserve"> </w:t>
      </w:r>
      <w:r>
        <w:t xml:space="preserve">Asia grew 28% cc in Q4 with China</w:t>
      </w:r>
      <w:r>
        <w:t xml:space="preserve"> </w:t>
      </w:r>
      <w:r>
        <w:rPr>
          <w:b/>
          <w:bCs/>
        </w:rPr>
        <w:t xml:space="preserve">+50%+</w:t>
      </w:r>
      <w:r>
        <w:t xml:space="preserve">; full year China was +40%. Management guided China to a more measured</w:t>
      </w:r>
      <w:r>
        <w:t xml:space="preserve"> </w:t>
      </w:r>
      <w:r>
        <w:rPr>
          <w:b/>
          <w:bCs/>
        </w:rPr>
        <w:t xml:space="preserve">mid-teens</w:t>
      </w:r>
      <w:r>
        <w:t xml:space="preserve"> </w:t>
      </w:r>
      <w:r>
        <w:t xml:space="preserve">in FY27 and Asia to high-single digits, deliberately pacing growth. The question is whether the underlying brand heat (Douyin, key-city expansion, 50th anniversary in Japan) sustains double-digit comps as compares stiffen.</w:t>
      </w:r>
    </w:p>
    <w:p>
      <w:pPr>
        <w:pStyle w:val="BodyText"/>
      </w:pPr>
      <w:r>
        <w:rPr>
          <w:b/>
          <w:bCs/>
        </w:rPr>
        <w:t xml:space="preserve">3. Europe — the cautious region.</w:t>
      </w:r>
      <w:r>
        <w:t xml:space="preserve"> </w:t>
      </w:r>
      <w:r>
        <w:t xml:space="preserve">Management flagged Europe as the one area of prudence:</w:t>
      </w:r>
      <w:r>
        <w:t xml:space="preserve"> </w:t>
      </w:r>
      <w:r>
        <w:rPr>
          <w:b/>
          <w:bCs/>
        </w:rPr>
        <w:t xml:space="preserve">elevated energy costs, softer inbound tourism, and Middle East disruption</w:t>
      </w:r>
      <w:r>
        <w:t xml:space="preserve"> </w:t>
      </w:r>
      <w:r>
        <w:t xml:space="preserve">(a low-single-digit % of EMEA), while lapping very strong prior-year growth. They said Europe's strongest growth should come</w:t>
      </w:r>
      <w:r>
        <w:t xml:space="preserve"> </w:t>
      </w:r>
      <w:r>
        <w:rPr>
          <w:b/>
          <w:bCs/>
        </w:rPr>
        <w:t xml:space="preserve">in Q1</w:t>
      </w:r>
      <w:r>
        <w:t xml:space="preserve">, so this print is the cleaner one; watch for any softening in the European consumer or wholesale reorder tone.</w:t>
      </w:r>
    </w:p>
    <w:p>
      <w:pPr>
        <w:pStyle w:val="BodyText"/>
      </w:pPr>
      <w:r>
        <w:rPr>
          <w:b/>
          <w:bCs/>
        </w:rPr>
        <w:t xml:space="preserve">4. Tariffs — headwind now, potential upside later.</w:t>
      </w:r>
      <w:r>
        <w:t xml:space="preserve"> </w:t>
      </w:r>
      <w:r>
        <w:t xml:space="preserve">FY27 gross-margin expansion is expected to be</w:t>
      </w:r>
      <w:r>
        <w:t xml:space="preserve"> </w:t>
      </w:r>
      <w:r>
        <w:rPr>
          <w:b/>
          <w:bCs/>
        </w:rPr>
        <w:t xml:space="preserve">front-half weighted</w:t>
      </w:r>
      <w:r>
        <w:t xml:space="preserve">, helped by a prevailing</w:t>
      </w:r>
      <w:r>
        <w:t xml:space="preserve"> </w:t>
      </w:r>
      <w:r>
        <w:rPr>
          <w:b/>
          <w:bCs/>
        </w:rPr>
        <w:t xml:space="preserve">10% tariff rate for most of the first half</w:t>
      </w:r>
      <w:r>
        <w:t xml:space="preserve"> </w:t>
      </w:r>
      <w:r>
        <w:t xml:space="preserve">following the U.S. Supreme Court's ruling against the IEEPA tariffs, with a step-up assumed in 2H. Critically, guidance</w:t>
      </w:r>
      <w:r>
        <w:t xml:space="preserve"> </w:t>
      </w:r>
      <w:r>
        <w:rPr>
          <w:b/>
          <w:bCs/>
        </w:rPr>
        <w:t xml:space="preserve">excludes any potential IEEPA tariff refunds</w:t>
      </w:r>
      <w:r>
        <w:t xml:space="preserve"> </w:t>
      </w:r>
      <w:r>
        <w:t xml:space="preserve">— a live source of upside if refunds materialize. Any update on refund status or 2H tariff assumptions matters.</w:t>
      </w:r>
    </w:p>
    <w:p>
      <w:pPr>
        <w:pStyle w:val="BodyText"/>
      </w:pPr>
      <w:r>
        <w:rPr>
          <w:b/>
          <w:bCs/>
        </w:rPr>
        <w:t xml:space="preserve">5. Guidance revision — will they raise again?</w:t>
      </w:r>
      <w:r>
        <w:t xml:space="preserve"> </w:t>
      </w:r>
      <w:r>
        <w:t xml:space="preserve">RL raised guidance at this exact point last year. Full-year FY27 is currently framed at</w:t>
      </w:r>
      <w:r>
        <w:t xml:space="preserve"> </w:t>
      </w:r>
      <w:r>
        <w:rPr>
          <w:b/>
          <w:bCs/>
        </w:rPr>
        <w:t xml:space="preserve">+mid-single-digit cc revenue (~4–5% on a 52-week basis, +1 pt from a 53rd week)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+40–60 bps operating margin</w:t>
      </w:r>
      <w:r>
        <w:t xml:space="preserve">. Given the beat-and-raise muscle memory, an in-line print with an</w:t>
      </w:r>
      <w:r>
        <w:t xml:space="preserve"> </w:t>
      </w:r>
      <w:r>
        <w:rPr>
          <w:i/>
          <w:iCs/>
        </w:rPr>
        <w:t xml:space="preserve">unchanged</w:t>
      </w:r>
      <w:r>
        <w:t xml:space="preserve"> </w:t>
      </w:r>
      <w:r>
        <w:t xml:space="preserve">full-year outlook could read as underwhelming to a stock priced for another raise.</w:t>
      </w:r>
    </w:p>
    <w:p>
      <w:r>
        <w:pict>
          <v:rect style="width:0;height:1.5pt" o:hralign="center" o:hrstd="t" o:hr="t"/>
        </w:pict>
      </w:r>
    </w:p>
    <w:bookmarkEnd w:id="14"/>
    <w:bookmarkStart w:id="15" w:name="X29449332587aaed3b1a5065b4cf7ca6e313f32e"/>
    <w:p>
      <w:pPr>
        <w:pStyle w:val="Heading2"/>
      </w:pPr>
      <w:r>
        <w:t xml:space="preserve">Balance sheet &amp; capital return (a support, not a swing factor)</w:t>
      </w:r>
    </w:p>
    <w:p>
      <w:pPr>
        <w:pStyle w:val="FirstParagraph"/>
      </w:pPr>
      <w:r>
        <w:t xml:space="preserve">RL remains a "fortress balance sheet" story: it ended FY26 with</w:t>
      </w:r>
      <w:r>
        <w:t xml:space="preserve"> </w:t>
      </w:r>
      <w:r>
        <w:rPr>
          <w:b/>
          <w:bCs/>
        </w:rPr>
        <w:t xml:space="preserve">~$2.1B in cash/short-term investments</w:t>
      </w:r>
      <w:r>
        <w:t xml:space="preserve"> </w:t>
      </w:r>
      <w:r>
        <w:t xml:space="preserve">against</w:t>
      </w:r>
      <w:r>
        <w:t xml:space="preserve"> </w:t>
      </w:r>
      <m:oMath>
        <m:r>
          <m:t>1.2</m:t>
        </m:r>
        <m:r>
          <m:t>B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,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750M free cash flow**, returned</w:t>
      </w:r>
      <w:r>
        <w:t xml:space="preserve"> </w:t>
      </w:r>
      <w:r>
        <w:rPr>
          <w:b/>
          <w:bCs/>
        </w:rPr>
        <w:t xml:space="preserve">&gt;$700M</w:t>
      </w:r>
      <w:r>
        <w:t xml:space="preserve"> </w:t>
      </w:r>
      <w:r>
        <w:t xml:space="preserve">to shareholders, and</w:t>
      </w:r>
      <w:r>
        <w:t xml:space="preserve"> </w:t>
      </w:r>
      <w:r>
        <w:rPr>
          <w:b/>
          <w:bCs/>
        </w:rPr>
        <w:t xml:space="preserve">raised the dividend 10%</w:t>
      </w:r>
      <w:r>
        <w:t xml:space="preserve"> </w:t>
      </w:r>
      <w:r>
        <w:t xml:space="preserve">(to</w:t>
      </w:r>
      <w:r>
        <w:t xml:space="preserve"> </w:t>
      </w:r>
      <m:oMath>
        <m:r>
          <m:t>4.00</m:t>
        </m:r>
        <m:r>
          <m:rPr>
            <m:sty m:val="p"/>
          </m:rPr>
          <m:t>/</m:t>
        </m:r>
        <m:r>
          <m:t>y</m:t>
        </m:r>
        <m:r>
          <m:t>r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I</m:t>
        </m:r>
        <m:r>
          <m:t>t</m:t>
        </m:r>
        <m:r>
          <m:t>h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1.4B remaining** on its buyback authorization. Expect continued repurchases and a shareholder-friendly tone; capex is guided to 4–5% of sales as it funds stores, real-estate purchases, digital, and AI ("Ask Ralph," agentic commerce).</w:t>
      </w:r>
    </w:p>
    <w:bookmarkEnd w:id="15"/>
    <w:bookmarkStart w:id="16" w:name="segmentchannel-model-to-watch"/>
    <w:p>
      <w:pPr>
        <w:pStyle w:val="Heading2"/>
      </w:pPr>
      <w:r>
        <w:t xml:space="preserve">Segment/channel model to watch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DTC (~70% of sales)</w:t>
      </w:r>
      <w:r>
        <w:t xml:space="preserve"> </w:t>
      </w:r>
      <w:r>
        <w:t xml:space="preserve">should again lead, full-price-driven; management expects units only slightly up, with AUR outpacing.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Wholesale (~30%)</w:t>
      </w:r>
      <w:r>
        <w:t xml:space="preserve"> </w:t>
      </w:r>
      <w:r>
        <w:t xml:space="preserve">is guided to modest growth,</w:t>
      </w:r>
      <w:r>
        <w:t xml:space="preserve"> </w:t>
      </w:r>
      <w:r>
        <w:rPr>
          <w:b/>
          <w:bCs/>
        </w:rPr>
        <w:t xml:space="preserve">weighted to 1H FY27</w:t>
      </w:r>
      <w:r>
        <w:t xml:space="preserve"> </w:t>
      </w:r>
      <w:r>
        <w:t xml:space="preserve">on shipment timing — so this quarter should look relatively good, aided by luxury doors (Nordstrom, Harrods, Bloomingdale's) and digital wholesale, partly offset by continued lower-tier door and off-price rationalization in North America.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North America</w:t>
      </w:r>
      <w:r>
        <w:t xml:space="preserve"> </w:t>
      </w:r>
      <w:r>
        <w:t xml:space="preserve">guided to only low-single-digit full-year growth (DTC &gt; wholesale), so the DTC comp is the key tell on the domestic consumer.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a "prove the durability" quarter rather than a "prove the story" quarter. The franchise is healthy — elevation, AUR, new (younger, higher-value) customer acquisition, China, and category expansion (women's, outerwear, handbags growing 20%+) are all working, and margins are expanding despite tariffs. The debate is entirely about</w:t>
      </w:r>
      <w:r>
        <w:t xml:space="preserve"> </w:t>
      </w:r>
      <w:r>
        <w:rPr>
          <w:b/>
          <w:bCs/>
        </w:rPr>
        <w:t xml:space="preserve">expectations</w:t>
      </w:r>
      <w:r>
        <w:t xml:space="preserve">: with the stock up ~27% in a year and consensus sitting near/above the high end of guidance, RL likely needs to</w:t>
      </w:r>
      <w:r>
        <w:t xml:space="preserve"> </w:t>
      </w:r>
      <w:r>
        <w:rPr>
          <w:b/>
          <w:bCs/>
        </w:rPr>
        <w:t xml:space="preserve">beat AND nudge up the full year</w:t>
      </w:r>
      <w:r>
        <w:t xml:space="preserve"> </w:t>
      </w:r>
      <w:r>
        <w:t xml:space="preserve">to extend the run. Watch AUR, the China/Asia comp against 40%+ compares, the tone on the European consumer, and any tariff-refund optionality. The clearest downside scenario is a "clean beat, unchanged guide" that gets sold — exactly the pattern that played out on the year-ago Q1 report.</w:t>
      </w:r>
    </w:p>
    <w:p>
      <w:pPr>
        <w:pStyle w:val="BodyText"/>
      </w:pPr>
      <w:r>
        <w:rPr>
          <w:i/>
          <w:iCs/>
        </w:rPr>
        <w:t xml:space="preserve">Note: All figures are drawn from RL's fiscal Q4 2026 earnings release/call (May 21, 2026), the year-ago FQ1 2026 release (Aug 7, 2025), a pre-earnings market digest, and historical price data. Consensus estimates are market expectations, not company guidance.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2026-08-06T00:25:06Z</dcterms:created>
  <dcterms:modified xsi:type="dcterms:W3CDTF">2026-08-06T00:25:06Z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