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This gives good context on the tariff situation. Now I have all the pieces I need. Let me write the earnings preview.# Ralph Lauren (RL) — Fiscal Q1 2027 Earnings Preview</w:t>
      </w:r>
      <w:r>
        <w:t xml:space="preserve"> </w:t>
      </w:r>
      <w:r>
        <w:rPr>
          <w:b/>
          <w:bCs/>
        </w:rPr>
        <w:t xml:space="preserve">Report Date:</w:t>
      </w:r>
      <w:r>
        <w:t xml:space="preserve"> </w:t>
      </w:r>
      <w:r>
        <w:t xml:space="preserve">Thursday, August 6, 2026 (before market open) |</w:t>
      </w:r>
      <w:r>
        <w:t xml:space="preserve"> </w:t>
      </w:r>
      <w:r>
        <w:rPr>
          <w:b/>
          <w:bCs/>
        </w:rPr>
        <w:t xml:space="preserve">Call:</w:t>
      </w:r>
      <w:r>
        <w:t xml:space="preserve"> </w:t>
      </w:r>
      <w:r>
        <w:t xml:space="preserve">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Ralph Lauren has been one of the more reliable "beat-and-raise" stories in retail over the past two years, and sentiment heading into tomorrow's print is</w:t>
      </w:r>
      <w:r>
        <w:t xml:space="preserve"> </w:t>
      </w:r>
      <w:r>
        <w:rPr>
          <w:b/>
          <w:bCs/>
        </w:rPr>
        <w:t xml:space="preserve">fairly bullish</w:t>
      </w:r>
      <w:r>
        <w:t xml:space="preserve">. The Street is looking for a fourth-straight quarter of upside, with consensus modeling</w:t>
      </w:r>
      <w:r>
        <w:t xml:space="preserve"> </w:t>
      </w:r>
      <w:r>
        <w:rPr>
          <w:b/>
          <w:bCs/>
        </w:rPr>
        <w:t xml:space="preserve">roughly 8% FX-neutral sales growth, ~73.25% gross margin, ~18.3% operating margin, and EPS of about $4.29</w:t>
      </w:r>
      <w:r>
        <w:t xml:space="preserve"> </w:t>
      </w:r>
      <w:r>
        <w:t xml:space="preserve">(other estimate services cluster around</w:t>
      </w:r>
      <w:r>
        <w:t xml:space="preserve"> </w:t>
      </w:r>
      <m:oMath>
        <m:r>
          <m:t>4.24</m:t>
        </m:r>
        <m:r>
          <m:rPr>
            <m:sty m:val="p"/>
          </m:rPr>
          <m:t>–</m:t>
        </m:r>
      </m:oMath>
      <w:r>
        <w:t xml:space="preserve">4.26), which would represent low-double-digit to mid-teens growth from last year's $3.77 adjusted EPS.</w:t>
      </w:r>
    </w:p>
    <w:p>
      <w:pPr>
        <w:pStyle w:val="BodyText"/>
      </w:pPr>
      <w:r>
        <w:t xml:space="preserve">The stock has had a strong run — up roughly 28% over the trailing twelve months and briefly topping</w:t>
      </w:r>
      <w:r>
        <w:t xml:space="preserve"> </w:t>
      </w:r>
      <m:oMath>
        <m:r>
          <m:t>410</m:t>
        </m:r>
        <m:r>
          <m:t>i</m:t>
        </m:r>
        <m:r>
          <m:t>n</m:t>
        </m:r>
        <m:r>
          <m:t>m</m:t>
        </m:r>
        <m:r>
          <m:t>i</m:t>
        </m:r>
        <m:r>
          <m:t>d</m:t>
        </m:r>
        <m:r>
          <m:rPr>
            <m:sty m:val="p"/>
          </m:rPr>
          <m:t>−</m:t>
        </m:r>
        <m:r>
          <m:t>J</m:t>
        </m:r>
        <m:r>
          <m:t>u</m:t>
        </m:r>
        <m:r>
          <m:t>n</m:t>
        </m:r>
        <m:r>
          <m:t>e</m:t>
        </m:r>
        <m:r>
          <m:t>b</m:t>
        </m:r>
        <m:r>
          <m:t>e</m:t>
        </m:r>
        <m:r>
          <m:t>f</m:t>
        </m:r>
        <m:r>
          <m:t>o</m:t>
        </m:r>
        <m:r>
          <m:t>r</m:t>
        </m:r>
        <m:r>
          <m:t>e</m:t>
        </m:r>
        <m:r>
          <m:t>s</m:t>
        </m:r>
        <m:r>
          <m:t>e</m:t>
        </m:r>
        <m:r>
          <m:t>t</m:t>
        </m:r>
        <m:r>
          <m:t>t</m:t>
        </m:r>
        <m:r>
          <m:t>l</m:t>
        </m:r>
        <m:r>
          <m:t>i</m:t>
        </m:r>
        <m:r>
          <m:t>n</m:t>
        </m:r>
        <m:r>
          <m:t>g</m:t>
        </m:r>
        <m:r>
          <m:t>b</m:t>
        </m:r>
        <m:r>
          <m:t>a</m:t>
        </m:r>
        <m:r>
          <m:t>c</m:t>
        </m:r>
        <m:r>
          <m:t>k</m:t>
        </m:r>
        <m:r>
          <m:t>i</m:t>
        </m:r>
        <m:r>
          <m:t>n</m:t>
        </m:r>
        <m:r>
          <m:t>t</m:t>
        </m:r>
        <m:r>
          <m:t>o</m:t>
        </m:r>
        <m:r>
          <m:t>t</m:t>
        </m:r>
        <m:r>
          <m:t>h</m:t>
        </m:r>
        <m:r>
          <m:t>e</m:t>
        </m:r>
        <m:r>
          <m:t>h</m:t>
        </m:r>
        <m:r>
          <m:t>i</m:t>
        </m:r>
        <m:r>
          <m:t>g</m:t>
        </m:r>
        <m:r>
          <m:t>h</m:t>
        </m:r>
        <m:r>
          <m:rPr>
            <m:sty m:val="p"/>
          </m:rPr>
          <m:t>−</m:t>
        </m:r>
      </m:oMath>
      <w:r>
        <w:t xml:space="preserve">370s/low-$380s heading into the report — so expectations, and the bar for a "clean" beat, are elevated.</w:t>
      </w:r>
    </w:p>
    <w:bookmarkEnd w:id="9"/>
    <w:bookmarkStart w:id="10" w:name="what-happened-last-quarter-context"/>
    <w:p>
      <w:pPr>
        <w:pStyle w:val="Heading2"/>
      </w:pPr>
      <w:r>
        <w:t xml:space="preserve">What Happened Last Quarter (Context)</w:t>
      </w:r>
    </w:p>
    <w:p>
      <w:pPr>
        <w:pStyle w:val="FirstParagraph"/>
      </w:pPr>
      <w:r>
        <w:t xml:space="preserve">RL closed fiscal 2026 (reported May 21) with a very strong Q4: fourth quarter revenue up 17% on a reported basis and 12% in constant currency, with full year fiscal 2026 revenue up 15% and 12% in reported and constant dollars, respectively, and global direct-to-consumer comparable store sales up 17% in the fourth quarter and 13% for the full year. Full-year revenue surpassed $8 billion for the first time, and adjusted EPS came in at $2.80 in Q4 vs. $2.27 a year ago.</w:t>
      </w:r>
    </w:p>
    <w:p>
      <w:pPr>
        <w:pStyle w:val="BodyText"/>
      </w:pPr>
      <w:r>
        <w:t xml:space="preserve">Management used that report to lay out an</w:t>
      </w:r>
      <w:r>
        <w:t xml:space="preserve"> </w:t>
      </w:r>
      <w:r>
        <w:rPr>
          <w:b/>
          <w:bCs/>
        </w:rPr>
        <w:t xml:space="preserve">initial FY2027 outlook</w:t>
      </w:r>
      <w:r>
        <w:t xml:space="preserve">, which is the key benchmark for tomorrow's guidance-setting:</w:t>
      </w:r>
    </w:p>
    <w:p>
      <w:pPr>
        <w:pStyle w:val="Compact"/>
        <w:numPr>
          <w:ilvl w:val="0"/>
          <w:numId w:val="1001"/>
        </w:numPr>
      </w:pPr>
      <w:r>
        <w:t xml:space="preserve">For Fiscal 2027, the Company expects constant currency revenues to increase approximately mid-single digits to last year on a 52-week comparable basis, centered around 4% to 5%.</w:t>
      </w:r>
    </w:p>
    <w:p>
      <w:pPr>
        <w:pStyle w:val="Compact"/>
        <w:numPr>
          <w:ilvl w:val="0"/>
          <w:numId w:val="1001"/>
        </w:numPr>
      </w:pPr>
      <w:r>
        <w:t xml:space="preserve">The Company expects operating margin for Fiscal 2027 to expand approximately 40 to 60 basis points in constant currency, driven by modest gross margin expansion and operating expense leverage. Gross and operating margin expansion are expected to be stronger in the first half of the fiscal year, largely due to the timing of key marketing activations compared to the prior year period and a lower prevailing tariff rate of 10% during the period.</w:t>
      </w:r>
    </w:p>
    <w:p>
      <w:pPr>
        <w:pStyle w:val="Compact"/>
        <w:numPr>
          <w:ilvl w:val="0"/>
          <w:numId w:val="1001"/>
        </w:numPr>
      </w:pPr>
      <w:r>
        <w:t xml:space="preserve">Fiscal 2027 is a 53-week year, with the 53rd week expected to contribute an additional 1 point to revenue growth and benefit operating margin slightly for the full fiscal year.</w:t>
      </w:r>
    </w:p>
    <w:p>
      <w:pPr>
        <w:pStyle w:val="Compact"/>
        <w:numPr>
          <w:ilvl w:val="0"/>
          <w:numId w:val="1001"/>
        </w:numPr>
      </w:pPr>
      <w:r>
        <w:t xml:space="preserve">Specifically for</w:t>
      </w:r>
      <w:r>
        <w:t xml:space="preserve"> </w:t>
      </w:r>
      <w:r>
        <w:rPr>
          <w:b/>
          <w:bCs/>
        </w:rPr>
        <w:t xml:space="preserve">Q1</w:t>
      </w:r>
      <w:r>
        <w:t xml:space="preserve">: the Company expects revenues to increase approximately mid- to high-single digits to last year on a constant currency basis, [and] operating margin for the first quarter is expected to expand approximately 80 to 120 basis points in constant currency, led by gross margin expansion.</w:t>
      </w:r>
    </w:p>
    <w:p>
      <w:pPr>
        <w:pStyle w:val="Compact"/>
        <w:numPr>
          <w:ilvl w:val="0"/>
          <w:numId w:val="1001"/>
        </w:numPr>
      </w:pPr>
      <w:r>
        <w:t xml:space="preserve">Tax rate: the full year Fiscal 2027 tax rate is expected to be in the range of 21% to 22%... First quarter of Fiscal 2027 tax rate is expected to be approximately 22% to 23%.</w:t>
      </w:r>
    </w:p>
    <w:p>
      <w:pPr>
        <w:pStyle w:val="FirstParagraph"/>
      </w:pPr>
      <w:r>
        <w:t xml:space="preserve">Importantly, guidance is explicitly conservative: the full year Fiscal 2027 and first quarter guidance... is considered preliminary and subject to change as a result of ongoing macroeconomic developments, and on the call CFO Justin Picicci noted the outlook</w:t>
      </w:r>
      <w:r>
        <w:t xml:space="preserve"> </w:t>
      </w:r>
      <w:r>
        <w:rPr>
          <w:b/>
          <w:bCs/>
        </w:rPr>
        <w:t xml:space="preserve">does not assume any benefit from potential tariff refunds</w:t>
      </w:r>
      <w:r>
        <w:t xml:space="preserve">.</w:t>
      </w:r>
    </w:p>
    <w:bookmarkEnd w:id="10"/>
    <w:bookmarkStart w:id="11" w:name="key-themes-to-watch-tomorrow"/>
    <w:p>
      <w:pPr>
        <w:pStyle w:val="Heading2"/>
      </w:pPr>
      <w:r>
        <w:t xml:space="preserve">Key Themes to Watch Tomorrow</w:t>
      </w:r>
    </w:p>
    <w:p>
      <w:pPr>
        <w:pStyle w:val="FirstParagraph"/>
      </w:pPr>
      <w:r>
        <w:rPr>
          <w:b/>
          <w:bCs/>
        </w:rPr>
        <w:t xml:space="preserve">1. Is the "beat-and-raise" streak intact?</w:t>
      </w:r>
      <w:r>
        <w:t xml:space="preserve"> </w:t>
      </w:r>
      <w:r>
        <w:t xml:space="preserve">RL has topped both revenue and EPS estimates in each of the last several quarters (Q4 delivered $2.80 adjusted EPS vs. a Street looking for roughly $2.52, on revenue of</w:t>
      </w:r>
      <w:r>
        <w:t xml:space="preserve"> </w:t>
      </w:r>
      <m:oMath>
        <m:r>
          <m:t>1.98</m:t>
        </m:r>
        <m:r>
          <m:t>B</m:t>
        </m:r>
        <m:r>
          <m:t>v</m:t>
        </m:r>
        <m:r>
          <m:t>s</m:t>
        </m:r>
        <m:r>
          <m:rPr>
            <m:sty m:val="p"/>
          </m:rPr>
          <m:t>.</m:t>
        </m:r>
        <m:r>
          <m:t> </m:t>
        </m:r>
      </m:oMath>
      <w:r>
        <w:t xml:space="preserve">1.85B expected). Given Q1 guidance calls for only mid-to-high single digit constant-currency growth and consensus is modeling closer to high-single-digit reported growth, another beat looks priced in — the real swing factor is the magnitude of any raise to full-year guidance.</w:t>
      </w:r>
    </w:p>
    <w:p>
      <w:pPr>
        <w:pStyle w:val="BodyText"/>
      </w:pPr>
      <w:r>
        <w:rPr>
          <w:b/>
          <w:bCs/>
        </w:rPr>
        <w:t xml:space="preserve">2. Regional mix — Europe is the wildcard.</w:t>
      </w:r>
      <w:r>
        <w:t xml:space="preserve"> </w:t>
      </w:r>
      <w:r>
        <w:t xml:space="preserve">Management set a notably more cautious tone on Europe than on North America or Asia. On the Q4 call, CFO Picicci flagged: we do expect a more normalized level of wholesale growth in fiscal '27... We also anticipate modest headwinds to our EMEA business more broadly due to disruptions in the Middle East, which represents a low single-digit percentage of our EMEA revenue as well as softer inbound tourism into Europe. He added the region is guided at only up low single-digit range and on the lower end of our algo for the full year. North America and Asia, by contrast, are expected to be closer to algo-or-better, with China guided to mid-teens growth after a blistering fiscal 2026.</w:t>
      </w:r>
    </w:p>
    <w:p>
      <w:pPr>
        <w:pStyle w:val="BodyText"/>
      </w:pPr>
      <w:r>
        <w:rPr>
          <w:b/>
          <w:bCs/>
        </w:rPr>
        <w:t xml:space="preserve">3. AUR normalization vs. units.</w:t>
      </w:r>
      <w:r>
        <w:t xml:space="preserve"> </w:t>
      </w:r>
      <w:r>
        <w:t xml:space="preserve">Average unit retail (AUR) growth has been a huge tailwind — up mid-teens in FY26 — and management is guiding to a "normalized" pace: AUR increased 16% in the fourth quarter... we expect continued, albeit more normalized mid-single-digit growth in fiscal '27 on top of last year's 15% increase. And in the first quarter, we expect high single-digit AUR growth with contributions from all regions. Watch for whether Q1 AUR/units track ahead of that normalized path — historically RL has outperformed its own initial-year guide.</w:t>
      </w:r>
    </w:p>
    <w:p>
      <w:pPr>
        <w:pStyle w:val="BodyText"/>
      </w:pPr>
      <w:r>
        <w:rPr>
          <w:b/>
          <w:bCs/>
        </w:rPr>
        <w:t xml:space="preserve">4. Margin trajectory and the tariff timing bet.</w:t>
      </w:r>
      <w:r>
        <w:t xml:space="preserve"> </w:t>
      </w:r>
      <w:r>
        <w:t xml:space="preserve">The bull case for H1 margins rests on a temporarily lower tariff rate: Gross and operating margin expansion are expected to be relatively stronger in the first half of the fiscal year, largely due to the benefit of a lower prevailing tariff rate of 10% for most of the period following the U.S. Supreme Court's ruling earlier this year. Our outlook currently includes a sequential increase in tariff headwinds in the second half of fiscal '27, which assumes that rates rise above the current 10% level following the expiration of the tariff relief window. This is a live macro/legal risk: the Supreme Court's IEEPA ruling in February 2026 has created ongoing uncertainty around tariff levels, refund mechanics, and the administration's use of alternative tariff authorities — all factors that could move RL's H2 cost assumptions in either direction.</w:t>
      </w:r>
    </w:p>
    <w:p>
      <w:pPr>
        <w:pStyle w:val="BodyText"/>
      </w:pPr>
      <w:r>
        <w:rPr>
          <w:b/>
          <w:bCs/>
        </w:rPr>
        <w:t xml:space="preserve">5. Marketing investment continuing to scale.</w:t>
      </w:r>
      <w:r>
        <w:t xml:space="preserve"> </w:t>
      </w:r>
      <w:r>
        <w:t xml:space="preserve">Marketing spend is expected to keep climbing as a percent of sales: Marketing was 8.1% of fourth quarter sales compared to 6.6% last year... For the full year, Marketing spend increased 21%, reaching 7.9% of sales... we plan to continue growing our marketing investments above the rate of revenue growth to around 8% of sales in fiscal '27. Investors should watch whether elevated Q1 marketing (Wimbledon, US Open activations, Olympics lap) pressures near-term SG&amp;A leverage even as gross margin expands.</w:t>
      </w:r>
    </w:p>
    <w:p>
      <w:pPr>
        <w:pStyle w:val="BodyText"/>
      </w:pPr>
      <w:r>
        <w:rPr>
          <w:b/>
          <w:bCs/>
        </w:rPr>
        <w:t xml:space="preserve">6. Capital returns / balance sheet.</w:t>
      </w:r>
      <w:r>
        <w:t xml:space="preserve"> </w:t>
      </w:r>
      <w:r>
        <w:t xml:space="preserve">RL enters the quarter from a position of strength: more than $2 billion in cash &amp; short-term investments and well-positioned inventories at fiscal year-end, having returned a total of more than $700 million to shareholders through its dividend and repurchase of Class A Common Stock in Fiscal 2026, alongside a 10% dividend increase to $4.00/share annually. About $1.4 billion remains on the existing repurchase authorization — pace of buybacks is worth tracking as a signal of management's confidence.</w:t>
      </w:r>
    </w:p>
    <w:bookmarkEnd w:id="11"/>
    <w:bookmarkStart w:id="12" w:name="numbers-to-watch-consensus-vs-guide"/>
    <w:p>
      <w:pPr>
        <w:pStyle w:val="Heading2"/>
      </w:pPr>
      <w:r>
        <w:t xml:space="preserve">Numbers to Watch (Consensus vs. Guide)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FY26 (Actual)</w:t>
            </w:r>
          </w:p>
        </w:tc>
        <w:tc>
          <w:tcPr/>
          <w:p>
            <w:pPr>
              <w:pStyle w:val="Compact"/>
            </w:pPr>
            <w:r>
              <w:t xml:space="preserve">Q1 FY27 Guide</w:t>
            </w:r>
          </w:p>
        </w:tc>
        <w:tc>
          <w:tcPr/>
          <w:p>
            <w:pPr>
              <w:pStyle w:val="Compact"/>
            </w:pPr>
            <w:r>
              <w:t xml:space="preserve">Q1 FY27 Consensus</w:t>
            </w:r>
          </w:p>
        </w:tc>
      </w:tr>
      <w:tr>
        <w:tc>
          <w:tcPr/>
          <w:p>
            <w:pPr>
              <w:pStyle w:val="Compact"/>
            </w:pPr>
            <w:r>
              <w:t xml:space="preserve">Revenue</w:t>
            </w:r>
          </w:p>
        </w:tc>
        <w:tc>
          <w:tcPr/>
          <w:p>
            <w:pPr>
              <w:pStyle w:val="Compact"/>
            </w:pPr>
            <w:r>
              <w:t xml:space="preserve">$1.72B (+14% reported)</w:t>
            </w:r>
          </w:p>
        </w:tc>
        <w:tc>
          <w:tcPr/>
          <w:p>
            <w:pPr>
              <w:pStyle w:val="Compact"/>
            </w:pPr>
            <w:r>
              <w:t xml:space="preserve">Mid-to-high single digit CC growth</w:t>
            </w:r>
          </w:p>
        </w:tc>
        <w:tc>
          <w:tcPr/>
          <w:p>
            <w:pPr>
              <w:pStyle w:val="Compact"/>
            </w:pPr>
            <w:r>
              <w:t xml:space="preserve">~$1.86B (~8% reported growth)</w:t>
            </w:r>
          </w:p>
        </w:tc>
      </w:tr>
      <w:tr>
        <w:tc>
          <w:tcPr/>
          <w:p>
            <w:pPr>
              <w:pStyle w:val="Compact"/>
            </w:pPr>
            <w:r>
              <w:t xml:space="preserve">Gross Margin</w:t>
            </w:r>
          </w:p>
        </w:tc>
        <w:tc>
          <w:tcPr/>
          <w:p>
            <w:pPr>
              <w:pStyle w:val="Compact"/>
            </w:pPr>
            <w:r>
              <w:t xml:space="preserve">72.3%</w:t>
            </w:r>
          </w:p>
        </w:tc>
        <w:tc>
          <w:tcPr/>
          <w:p>
            <w:pPr>
              <w:pStyle w:val="Compact"/>
            </w:pPr>
            <w:r>
              <w:t xml:space="preserve">Expansion led by AUR/mix</w:t>
            </w:r>
          </w:p>
        </w:tc>
        <w:tc>
          <w:tcPr/>
          <w:p>
            <w:pPr>
              <w:pStyle w:val="Compact"/>
            </w:pPr>
            <w:r>
              <w:t xml:space="preserve">~73.25%</w:t>
            </w:r>
          </w:p>
        </w:tc>
      </w:tr>
      <w:tr>
        <w:tc>
          <w:tcPr/>
          <w:p>
            <w:pPr>
              <w:pStyle w:val="Compact"/>
            </w:pPr>
            <w:r>
              <w:t xml:space="preserve">Operating Margin (adj.)</w:t>
            </w:r>
          </w:p>
        </w:tc>
        <w:tc>
          <w:tcPr/>
          <w:p>
            <w:pPr>
              <w:pStyle w:val="Compact"/>
            </w:pPr>
            <w:r>
              <w:t xml:space="preserve">17.0%</w:t>
            </w:r>
          </w:p>
        </w:tc>
        <w:tc>
          <w:tcPr/>
          <w:p>
            <w:pPr>
              <w:pStyle w:val="Compact"/>
            </w:pPr>
            <w:r>
              <w:t xml:space="preserve">+80–120 bps CC</w:t>
            </w:r>
          </w:p>
        </w:tc>
        <w:tc>
          <w:tcPr/>
          <w:p>
            <w:pPr>
              <w:pStyle w:val="Compact"/>
            </w:pPr>
            <w:r>
              <w:t xml:space="preserve">~18.3%</w:t>
            </w:r>
          </w:p>
        </w:tc>
      </w:tr>
      <w:tr>
        <w:tc>
          <w:tcPr/>
          <w:p>
            <w:pPr>
              <w:pStyle w:val="Compact"/>
            </w:pPr>
            <w:r>
              <w:t xml:space="preserve">EPS (adj.)</w:t>
            </w:r>
          </w:p>
        </w:tc>
        <w:tc>
          <w:tcPr/>
          <w:p>
            <w:pPr>
              <w:pStyle w:val="Compact"/>
            </w:pPr>
            <w:r>
              <w:t xml:space="preserve">$3.77</w:t>
            </w:r>
          </w:p>
        </w:tc>
        <w:tc>
          <w:tcPr/>
          <w:p>
            <w:pPr>
              <w:pStyle w:val="Compact"/>
            </w:pPr>
            <w:r>
              <w:t xml:space="preserve">N/A</w:t>
            </w:r>
          </w:p>
        </w:tc>
        <w:tc>
          <w:tcPr/>
          <w:p>
            <w:pPr>
              <w:pStyle w:val="Compact"/>
            </w:pPr>
            <w:r>
              <w:t xml:space="preserve">~</w:t>
            </w:r>
            <m:oMath>
              <m:r>
                <m:t>4.24</m:t>
              </m:r>
              <m:r>
                <m:rPr>
                  <m:sty m:val="p"/>
                </m:rPr>
                <m:t>–</m:t>
              </m:r>
            </m:oMath>
            <w:r>
              <w:t xml:space="preserve">4.29</w:t>
            </w:r>
          </w:p>
        </w:tc>
      </w:tr>
      <w:tr>
        <w:tc>
          <w:tcPr/>
          <w:p>
            <w:pPr>
              <w:pStyle w:val="Compact"/>
            </w:pPr>
            <w:r>
              <w:t xml:space="preserve">Tax Rate</w:t>
            </w:r>
          </w:p>
        </w:tc>
        <w:tc>
          <w:tcPr/>
          <w:p>
            <w:pPr>
              <w:pStyle w:val="Compact"/>
            </w:pPr>
            <w:r>
              <w:t xml:space="preserve">~21%</w:t>
            </w:r>
          </w:p>
        </w:tc>
        <w:tc>
          <w:tcPr/>
          <w:p>
            <w:pPr>
              <w:pStyle w:val="Compact"/>
            </w:pPr>
            <w:r>
              <w:t xml:space="preserve">22–23%</w:t>
            </w:r>
          </w:p>
        </w:tc>
        <w:tc>
          <w:tcPr/>
          <w:p>
            <w:pPr>
              <w:pStyle w:val="Compact"/>
            </w:pPr>
            <w:r>
              <w:t xml:space="preserve">—</w:t>
            </w:r>
          </w:p>
        </w:tc>
      </w:tr>
    </w:tbl>
    <w:bookmarkEnd w:id="12"/>
    <w:bookmarkStart w:id="13" w:name="bottom-line"/>
    <w:p>
      <w:pPr>
        <w:pStyle w:val="Heading2"/>
      </w:pPr>
      <w:r>
        <w:t xml:space="preserve">Bottom Line</w:t>
      </w:r>
    </w:p>
    <w:p>
      <w:pPr>
        <w:pStyle w:val="FirstParagraph"/>
      </w:pPr>
      <w:r>
        <w:t xml:space="preserve">Ralph Lauren goes into this print with a strong recent track record, a fortress balance sheet, and a brand that continues to gain share with younger, less price-sensitive, higher-AUR consumers across all three regions — management's own framing is that they have offset macro headwinds through brand strength and strong execution. The setup argues for another top- and bottom-line beat, but the stock's big run since last fall means the market is likely pricing in an upside surprise already. The most useful signals for investors will be: (1) any explicit raise to the FY27 mid-single-digit revenue/40-60bp margin framework, (2) commentary on Europe's health given energy-cost and Middle East tourism disruptions, and (3) management's updated read on tariff policy risk into the back half of the fiscal year, given the still-unsettled IEEPA ruling aftermath and the assumed step-up in tariff rates after the current relief window expires.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2026-08-06T00:28:12Z</dcterms:created>
  <dcterms:modified xsi:type="dcterms:W3CDTF">2026-08-06T00:28:12Z</dcterms:modified>
</cp:coreProperties>
</file>

<file path=docProps/custom.xml><?xml version="1.0" encoding="utf-8"?>
<Properties xmlns="http://schemas.openxmlformats.org/officeDocument/2006/custom-properties" xmlns:vt="http://schemas.openxmlformats.org/officeDocument/2006/docPropsVTypes"/>
</file>