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rl-earnings-predictions--2026-08-06"/>
    <w:p>
      <w:pPr>
        <w:pStyle w:val="Heading1"/>
      </w:pPr>
      <w:r>
        <w:t xml:space="preserve">RL Earnings Predictions — 2026-08-06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RL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Fiscal Q1 2027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~$1.90B vs. cons $1.86B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RL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Fiscal Q1 2027 adjusted gross margin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~74.1% vs. cons 73.25%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RL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Fiscal Q1 2027 adjusted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~$4.52 vs. cons $4.29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RL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Constant-currency revenue growth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~5.0%-6.0% vs. cons 5.2% (FY2027)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RL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Constant-currency operating-margin expansion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~40-60 bps vs. cons 65 bps (FY2027)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RL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Constant-currency revenue growth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~3%-5% vs. cons 5.0% (Fiscal Q2 2027)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RL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-2.8%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RL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-4.6% (FOLLOW-THROUGH)</w:t>
            </w:r>
          </w:p>
        </w:tc>
        <w:tc>
          <w:tcPr/>
          <w:p>
            <w:pPr>
              <w:pStyle w:val="Compact"/>
            </w:pPr>
            <w:r>
              <w:t xml:space="preserve">A strong Q1 beat is likely overshadowed by an unchanged ~40-60 bps FY2027 operating-margin guide versus 65 bps consensus; after an estimated ~180 bps Q1 gross-margin expansion versus ~95 bps consensus, the unchanged annual range implicitly lowers margin expectations for Q2-Q4 as newer tariffs flow through inventory, driving estimate cuts after the initial print.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2026-08-06T00:27:32Z</dcterms:created>
  <dcterms:modified xsi:type="dcterms:W3CDTF">2026-08-06T00:27:32Z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