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90aff364b36ba98f649c66a544912afaf1c294"/>
    <w:p>
      <w:pPr>
        <w:pStyle w:val="Heading1"/>
      </w:pPr>
      <w:r>
        <w:t xml:space="preserve">Ralph Lauren (NYSE: RL) Fiscal 2027 Q1 Earnings Preview</w:t>
      </w:r>
    </w:p>
    <w:p>
      <w:pPr>
        <w:pStyle w:val="BlockText"/>
      </w:pPr>
      <w:r>
        <w:rPr>
          <w:b/>
          <w:bCs/>
        </w:rPr>
        <w:t xml:space="preserve">Scheduling note:</w:t>
      </w:r>
      <w:r>
        <w:t xml:space="preserve"> </w:t>
      </w:r>
      <w:r>
        <w:t xml:space="preserve">Ralph Lauren is scheduled to report</w:t>
      </w:r>
      <w:r>
        <w:t xml:space="preserve"> </w:t>
      </w:r>
      <w:r>
        <w:rPr>
          <w:b/>
          <w:bCs/>
        </w:rPr>
        <w:t xml:space="preserve">before the U.S. market opens on Thursday, August 6, 2026</w:t>
      </w:r>
      <w:r>
        <w:t xml:space="preserve">. Since today is August 6, the report is due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</w:t>
      </w:r>
    </w:p>
    <w:bookmarkStart w:id="9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Ralph Lauren enters the quarter with exceptional brand and earnings momentum—but also a demanding valuation and elevated expectations. Fiscal 2026 revenue exceeded $8 billion for the first time, direct-to-consumer sales remained strong, average unit retail continued to rise, and margins expanded despite tariffs and other cost pressures.</w:t>
      </w:r>
    </w:p>
    <w:p>
      <w:pPr>
        <w:pStyle w:val="BodyText"/>
      </w:pPr>
      <w:r>
        <w:t xml:space="preserve">The central question is no longer whether Ralph Lauren has successfully elevated the brand. It is whether that momentum can sustain</w:t>
      </w:r>
      <w:r>
        <w:t xml:space="preserve"> </w:t>
      </w:r>
      <w:r>
        <w:rPr>
          <w:b/>
          <w:bCs/>
        </w:rPr>
        <w:t xml:space="preserve">high-quality growth against tougher comparisons</w:t>
      </w:r>
      <w:r>
        <w:t xml:space="preserve">, particularly in China, while management absorbs a changing tariff environment and continues increasing marketing investment.</w:t>
      </w:r>
    </w:p>
    <w:p>
      <w:pPr>
        <w:pStyle w:val="BodyText"/>
      </w:pPr>
      <w:r>
        <w:t xml:space="preserve">A modest beat may not be sufficient. Investors will likely want:</w:t>
      </w:r>
    </w:p>
    <w:p>
      <w:pPr>
        <w:pStyle w:val="Compact"/>
        <w:numPr>
          <w:ilvl w:val="0"/>
          <w:numId w:val="1001"/>
        </w:numPr>
      </w:pPr>
      <w:r>
        <w:t xml:space="preserve">Revenue near or above the high end of guidance.</w:t>
      </w:r>
    </w:p>
    <w:p>
      <w:pPr>
        <w:pStyle w:val="Compact"/>
        <w:numPr>
          <w:ilvl w:val="0"/>
          <w:numId w:val="1001"/>
        </w:numPr>
      </w:pPr>
      <w:r>
        <w:t xml:space="preserve">Another meaningful gross-margin increase.</w:t>
      </w:r>
    </w:p>
    <w:p>
      <w:pPr>
        <w:pStyle w:val="Compact"/>
        <w:numPr>
          <w:ilvl w:val="0"/>
          <w:numId w:val="1001"/>
        </w:numPr>
      </w:pPr>
      <w:r>
        <w:t xml:space="preserve">Evidence that sales growth includes positive units—not just pricing and mix.</w:t>
      </w:r>
    </w:p>
    <w:p>
      <w:pPr>
        <w:pStyle w:val="Compact"/>
        <w:numPr>
          <w:ilvl w:val="0"/>
          <w:numId w:val="1001"/>
        </w:numPr>
      </w:pPr>
      <w:r>
        <w:t xml:space="preserve">Resilient North American demand and orderly wholesale trends.</w:t>
      </w:r>
    </w:p>
    <w:p>
      <w:pPr>
        <w:pStyle w:val="Compact"/>
        <w:numPr>
          <w:ilvl w:val="0"/>
          <w:numId w:val="1001"/>
        </w:numPr>
      </w:pPr>
      <w:r>
        <w:t xml:space="preserve">Continued growth in China despite much harder comparisons.</w:t>
      </w:r>
    </w:p>
    <w:p>
      <w:pPr>
        <w:pStyle w:val="Compact"/>
        <w:numPr>
          <w:ilvl w:val="0"/>
          <w:numId w:val="1001"/>
        </w:numPr>
      </w:pPr>
      <w:r>
        <w:t xml:space="preserve">At least a reiteration—and preferably an increase—of full-year guidance.</w:t>
      </w:r>
    </w:p>
    <w:p>
      <w:r>
        <w:pict>
          <v:rect style="width:0;height:1.5pt" o:hralign="center" o:hrstd="t" o:hr="t"/>
        </w:pict>
      </w:r>
    </w:p>
    <w:bookmarkEnd w:id="9"/>
    <w:bookmarkStart w:id="11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Q1 2026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Q1 2027 expectation /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$1.719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$1.86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approximately</w:t>
            </w:r>
            <w:r>
              <w:t xml:space="preserve"> </w:t>
            </w:r>
            <w:r>
              <w:rPr>
                <w:b/>
                <w:bCs/>
              </w:rPr>
              <w:t xml:space="preserve">8%</w:t>
            </w:r>
            <w:r>
              <w:t xml:space="preserve">; company: mid- to high-single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DTC comparable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formal guide; a key quality indicator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72.3% reported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approximately</w:t>
            </w:r>
            <w:r>
              <w:t xml:space="preserve"> </w:t>
            </w:r>
            <w:r>
              <w:rPr>
                <w:b/>
                <w:bCs/>
              </w:rPr>
              <w:t xml:space="preserve">73.25%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17.0% reported; 16.6% constant currency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approximately</w:t>
            </w:r>
            <w:r>
              <w:t xml:space="preserve"> </w:t>
            </w:r>
            <w:r>
              <w:rPr>
                <w:b/>
                <w:bCs/>
              </w:rPr>
              <w:t xml:space="preserve">18.3%</w:t>
            </w:r>
            <w:r>
              <w:t xml:space="preserve">; company guided to 80–120 bps of constant-currency expansion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approximately</w:t>
            </w:r>
            <w:r>
              <w:t xml:space="preserve"> </w:t>
            </w:r>
            <w:r>
              <w:rPr>
                <w:b/>
                <w:bCs/>
              </w:rPr>
              <w:t xml:space="preserve">$4.29</w:t>
            </w:r>
          </w:p>
        </w:tc>
      </w:tr>
    </w:tbl>
    <w:p>
      <w:pPr>
        <w:pStyle w:val="BodyText"/>
      </w:pPr>
      <w:r>
        <w:t xml:space="preserve">The consensus figures imply roughly</w:t>
      </w:r>
      <w:r>
        <w:t xml:space="preserve"> </w:t>
      </w:r>
      <w:r>
        <w:rPr>
          <w:b/>
          <w:bCs/>
        </w:rPr>
        <w:t xml:space="preserve">14% adjusted EPS growth</w:t>
      </w:r>
      <w:r>
        <w:t xml:space="preserve"> </w:t>
      </w:r>
      <w:r>
        <w:t xml:space="preserve">and an operating result that appears stronger than the midpoint of management’s original guidance, although investors should be mindful of reported-versus-constant-currency presentation differences.</w:t>
      </w:r>
    </w:p>
    <w:bookmarkStart w:id="10" w:name="existing-fiscal-2027-guidance"/>
    <w:p>
      <w:pPr>
        <w:pStyle w:val="Heading3"/>
      </w:pPr>
      <w:r>
        <w:t xml:space="preserve">Existing fiscal 2027 guidance</w:t>
      </w:r>
    </w:p>
    <w:p>
      <w:pPr>
        <w:pStyle w:val="FirstParagraph"/>
      </w:pPr>
      <w:r>
        <w:t xml:space="preserve">Management entered the quarter forecasting: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Constant-currency revenue growth of 4%–5%</w:t>
      </w:r>
      <w:r>
        <w:t xml:space="preserve"> </w:t>
      </w:r>
      <w:r>
        <w:t xml:space="preserve">on a comparable 52-week basis.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one additional percentage point of revenue growth</w:t>
      </w:r>
      <w:r>
        <w:t xml:space="preserve"> </w:t>
      </w:r>
      <w:r>
        <w:t xml:space="preserve">from fiscal 2027’s 53rd week.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Constant-currency operating-margin expansion of 40–60 basis points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Roughly neutral foreign-exchange effects on full-year revenue and margins.</w:t>
      </w:r>
    </w:p>
    <w:p>
      <w:pPr>
        <w:pStyle w:val="Compact"/>
        <w:numPr>
          <w:ilvl w:val="0"/>
          <w:numId w:val="1002"/>
        </w:numPr>
      </w:pPr>
      <w:r>
        <w:t xml:space="preserve">Capital expenditures equal to approximately 4%–5% of revenue.</w:t>
      </w:r>
    </w:p>
    <w:p>
      <w:pPr>
        <w:pStyle w:val="Compact"/>
        <w:numPr>
          <w:ilvl w:val="0"/>
          <w:numId w:val="1002"/>
        </w:numPr>
      </w:pPr>
      <w:r>
        <w:t xml:space="preserve">A 21%–22% full-year tax rate.</w:t>
      </w:r>
    </w:p>
    <w:p>
      <w:pPr>
        <w:pStyle w:val="FirstParagraph"/>
      </w:pPr>
      <w:r>
        <w:t xml:space="preserve">Management previously expected margin expansion to be stronger in the first half, making the Q1 margin result especially important.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the-setup-strong-company-high-bar"/>
    <w:p>
      <w:pPr>
        <w:pStyle w:val="Heading2"/>
      </w:pPr>
      <w:r>
        <w:t xml:space="preserve">The setup: strong company, high bar</w:t>
      </w:r>
    </w:p>
    <w:p>
      <w:pPr>
        <w:pStyle w:val="FirstParagraph"/>
      </w:pPr>
      <w:r>
        <w:t xml:space="preserve">RL closed August 5 at</w:t>
      </w:r>
      <w:r>
        <w:t xml:space="preserve"> </w:t>
      </w:r>
      <w:r>
        <w:rPr>
          <w:b/>
          <w:bCs/>
        </w:rPr>
        <w:t xml:space="preserve">$380.82</w:t>
      </w:r>
      <w:r>
        <w:t xml:space="preserve">, approximately: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26% above</w:t>
      </w:r>
      <w:r>
        <w:t xml:space="preserve"> </w:t>
      </w:r>
      <w:r>
        <w:t xml:space="preserve">its August 6, 2025 close.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16% above</w:t>
      </w:r>
      <w:r>
        <w:t xml:space="preserve"> </w:t>
      </w:r>
      <w:r>
        <w:t xml:space="preserve">its May 20, 2026 pre-earnings close.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8% below</w:t>
      </w:r>
      <w:r>
        <w:t xml:space="preserve"> </w:t>
      </w:r>
      <w:r>
        <w:t xml:space="preserve">its late-June 2026 high.</w:t>
      </w:r>
    </w:p>
    <w:p>
      <w:pPr>
        <w:pStyle w:val="FirstParagraph"/>
      </w:pPr>
      <w:r>
        <w:t xml:space="preserve">The stock’s rise reflects a substantial increase in investor confidence. Ralph Lauren has delivered broad-based growth rather than relying on a single geography or product cycle:</w:t>
      </w:r>
    </w:p>
    <w:p>
      <w:pPr>
        <w:pStyle w:val="Compact"/>
        <w:numPr>
          <w:ilvl w:val="0"/>
          <w:numId w:val="1004"/>
        </w:numPr>
      </w:pPr>
      <w:r>
        <w:t xml:space="preserve">Fiscal 2026 revenue grew</w:t>
      </w:r>
      <w:r>
        <w:t xml:space="preserve"> </w:t>
      </w:r>
      <w:r>
        <w:rPr>
          <w:b/>
          <w:bCs/>
        </w:rPr>
        <w:t xml:space="preserve">12% in constant currency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Global DTC comparable sales increased</w:t>
      </w:r>
      <w:r>
        <w:t xml:space="preserve"> </w:t>
      </w:r>
      <w:r>
        <w:rPr>
          <w:b/>
          <w:bCs/>
        </w:rPr>
        <w:t xml:space="preserve">13%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Adjusted operating margin expanded approximately</w:t>
      </w:r>
      <w:r>
        <w:t xml:space="preserve"> </w:t>
      </w:r>
      <w:r>
        <w:rPr>
          <w:b/>
          <w:bCs/>
        </w:rPr>
        <w:t xml:space="preserve">200 basis points on a reported basis</w:t>
      </w:r>
      <w:r>
        <w:t xml:space="preserve">, to 16.0%.</w:t>
      </w:r>
    </w:p>
    <w:p>
      <w:pPr>
        <w:pStyle w:val="Compact"/>
        <w:numPr>
          <w:ilvl w:val="0"/>
          <w:numId w:val="1004"/>
        </w:numPr>
      </w:pPr>
      <w:r>
        <w:t xml:space="preserve">Core product sales grew in the mid-teens.</w:t>
      </w:r>
    </w:p>
    <w:p>
      <w:pPr>
        <w:pStyle w:val="Compact"/>
        <w:numPr>
          <w:ilvl w:val="0"/>
          <w:numId w:val="1004"/>
        </w:numPr>
      </w:pPr>
      <w:r>
        <w:t xml:space="preserve">Women’s apparel, outerwear and handbags grew more than 20%.</w:t>
      </w:r>
    </w:p>
    <w:p>
      <w:pPr>
        <w:pStyle w:val="Compact"/>
        <w:numPr>
          <w:ilvl w:val="0"/>
          <w:numId w:val="1004"/>
        </w:numPr>
      </w:pPr>
      <w:r>
        <w:t xml:space="preserve">North America returned to sustainable growth.</w:t>
      </w:r>
    </w:p>
    <w:p>
      <w:pPr>
        <w:pStyle w:val="Compact"/>
        <w:numPr>
          <w:ilvl w:val="0"/>
          <w:numId w:val="1004"/>
        </w:numPr>
      </w:pPr>
      <w:r>
        <w:t xml:space="preserve">China grew approximately 40% for the year.</w:t>
      </w:r>
    </w:p>
    <w:p>
      <w:pPr>
        <w:pStyle w:val="Compact"/>
        <w:numPr>
          <w:ilvl w:val="0"/>
          <w:numId w:val="1004"/>
        </w:numPr>
      </w:pPr>
      <w:r>
        <w:t xml:space="preserve">The company generated roughly $750 million of free cash flow and returned more than $700 million to shareholders.</w:t>
      </w:r>
    </w:p>
    <w:p>
      <w:pPr>
        <w:pStyle w:val="FirstParagraph"/>
      </w:pPr>
      <w:r>
        <w:t xml:space="preserve">That record creates a favorable fundamental setup but an asymmetric earnings setup: investors already expect management to execute well.</w:t>
      </w:r>
    </w:p>
    <w:p>
      <w:r>
        <w:pict>
          <v:rect style="width:0;height:1.5pt" o:hralign="center" o:hrstd="t" o:hr="t"/>
        </w:pict>
      </w:r>
    </w:p>
    <w:bookmarkEnd w:id="12"/>
    <w:bookmarkStart w:id="13" w:name="what-matters-most"/>
    <w:p>
      <w:pPr>
        <w:pStyle w:val="Heading2"/>
      </w:pPr>
      <w:r>
        <w:t xml:space="preserve">What matters most</w:t>
      </w:r>
    </w:p>
    <w:bookmarkEnd w:id="13"/>
    <w:bookmarkStart w:id="14" w:name="X69de8d8ccd0c2b4f0dec133c51ed76fb4f11fac"/>
    <w:p>
      <w:pPr>
        <w:pStyle w:val="Heading2"/>
      </w:pPr>
      <w:r>
        <w:t xml:space="preserve">1. Gross margin and the updated tariff outlook</w:t>
      </w:r>
    </w:p>
    <w:p>
      <w:pPr>
        <w:pStyle w:val="FirstParagraph"/>
      </w:pPr>
      <w:r>
        <w:t xml:space="preserve">Gross margin is likely to be the most important line in the release.</w:t>
      </w:r>
    </w:p>
    <w:p>
      <w:pPr>
        <w:pStyle w:val="BodyText"/>
      </w:pPr>
      <w:r>
        <w:t xml:space="preserve">Management originally forecast Q1 operating-margin expansion of 80–120 basis points, led by gross margin. The principal supports were expected to be:</w:t>
      </w:r>
    </w:p>
    <w:p>
      <w:pPr>
        <w:pStyle w:val="Compact"/>
        <w:numPr>
          <w:ilvl w:val="0"/>
          <w:numId w:val="1005"/>
        </w:numPr>
      </w:pPr>
      <w:r>
        <w:t xml:space="preserve">Continued AUR growth.</w:t>
      </w:r>
    </w:p>
    <w:p>
      <w:pPr>
        <w:pStyle w:val="Compact"/>
        <w:numPr>
          <w:ilvl w:val="0"/>
          <w:numId w:val="1005"/>
        </w:numPr>
      </w:pPr>
      <w:r>
        <w:t xml:space="preserve">Higher full-price selling and lower discounting.</w:t>
      </w:r>
    </w:p>
    <w:p>
      <w:pPr>
        <w:pStyle w:val="Compact"/>
        <w:numPr>
          <w:ilvl w:val="0"/>
          <w:numId w:val="1005"/>
        </w:numPr>
      </w:pPr>
      <w:r>
        <w:t xml:space="preserve">Favorable product, geographic and channel mix.</w:t>
      </w:r>
    </w:p>
    <w:p>
      <w:pPr>
        <w:pStyle w:val="Compact"/>
        <w:numPr>
          <w:ilvl w:val="0"/>
          <w:numId w:val="1005"/>
        </w:numPr>
      </w:pPr>
      <w:r>
        <w:t xml:space="preserve">A lower tariff burden than the company experienced at peak levels in fiscal 2026.</w:t>
      </w:r>
    </w:p>
    <w:p>
      <w:pPr>
        <w:pStyle w:val="FirstParagraph"/>
      </w:pPr>
      <w:r>
        <w:t xml:space="preserve">The tariff landscape has continued to change since the May guidance. New U.S. duties of generally 10%–12.5% on imports from many trading partners took effect in late July. This matters because Ralph Lauren sources substantially all of its merchandise outside the U.S.; in fiscal 2026, approximately:</w:t>
      </w:r>
    </w:p>
    <w:p>
      <w:pPr>
        <w:pStyle w:val="Compact"/>
        <w:numPr>
          <w:ilvl w:val="0"/>
          <w:numId w:val="1006"/>
        </w:numPr>
      </w:pPr>
      <w:r>
        <w:t xml:space="preserve">21% came from Vietnam.</w:t>
      </w:r>
    </w:p>
    <w:p>
      <w:pPr>
        <w:pStyle w:val="Compact"/>
        <w:numPr>
          <w:ilvl w:val="0"/>
          <w:numId w:val="1006"/>
        </w:numPr>
      </w:pPr>
      <w:r>
        <w:t xml:space="preserve">16% from Cambodia.</w:t>
      </w:r>
    </w:p>
    <w:p>
      <w:pPr>
        <w:pStyle w:val="Compact"/>
        <w:numPr>
          <w:ilvl w:val="0"/>
          <w:numId w:val="1006"/>
        </w:numPr>
      </w:pPr>
      <w:r>
        <w:t xml:space="preserve">11% from India.</w:t>
      </w:r>
    </w:p>
    <w:p>
      <w:pPr>
        <w:pStyle w:val="FirstParagraph"/>
      </w:pPr>
      <w:r>
        <w:t xml:space="preserve">Investors should listen for:</w:t>
      </w:r>
    </w:p>
    <w:p>
      <w:pPr>
        <w:pStyle w:val="Compact"/>
        <w:numPr>
          <w:ilvl w:val="0"/>
          <w:numId w:val="1007"/>
        </w:numPr>
      </w:pPr>
      <w:r>
        <w:t xml:space="preserve">Whether the original fiscal 2027 tariff assumptions remain valid.</w:t>
      </w:r>
    </w:p>
    <w:p>
      <w:pPr>
        <w:pStyle w:val="Compact"/>
        <w:numPr>
          <w:ilvl w:val="0"/>
          <w:numId w:val="1007"/>
        </w:numPr>
      </w:pPr>
      <w:r>
        <w:t xml:space="preserve">Any incremental cost from the July tariff changes.</w:t>
      </w:r>
    </w:p>
    <w:p>
      <w:pPr>
        <w:pStyle w:val="Compact"/>
        <w:numPr>
          <w:ilvl w:val="0"/>
          <w:numId w:val="1007"/>
        </w:numPr>
      </w:pPr>
      <w:r>
        <w:t xml:space="preserve">Whether tariff refunds are included in results or guidance.</w:t>
      </w:r>
    </w:p>
    <w:p>
      <w:pPr>
        <w:pStyle w:val="Compact"/>
        <w:numPr>
          <w:ilvl w:val="0"/>
          <w:numId w:val="1007"/>
        </w:numPr>
      </w:pPr>
      <w:r>
        <w:t xml:space="preserve">The timing of inventory flowing through cost of goods sold.</w:t>
      </w:r>
    </w:p>
    <w:p>
      <w:pPr>
        <w:pStyle w:val="Compact"/>
        <w:numPr>
          <w:ilvl w:val="0"/>
          <w:numId w:val="1007"/>
        </w:numPr>
      </w:pPr>
      <w:r>
        <w:t xml:space="preserve">Additional vendor negotiations, sourcing shifts or pricing actions.</w:t>
      </w:r>
    </w:p>
    <w:p>
      <w:pPr>
        <w:pStyle w:val="Compact"/>
        <w:numPr>
          <w:ilvl w:val="0"/>
          <w:numId w:val="1007"/>
        </w:numPr>
      </w:pPr>
      <w:r>
        <w:t xml:space="preserve">Whether second-half gross-margin expansion is still achievable.</w:t>
      </w:r>
    </w:p>
    <w:p>
      <w:pPr>
        <w:pStyle w:val="FirstParagraph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Gross margin exceeds roughly 73.25%, and management maintains or improves its full-year margin outlook despite updated tariff assumptions.</w:t>
      </w:r>
    </w:p>
    <w:p>
      <w:pPr>
        <w:pStyle w:val="BodyText"/>
      </w:pPr>
      <w:r>
        <w:rPr>
          <w:b/>
          <w:bCs/>
        </w:rPr>
        <w:t xml:space="preserve">Warning sign:</w:t>
      </w:r>
      <w:r>
        <w:t xml:space="preserve"> </w:t>
      </w:r>
      <w:r>
        <w:t xml:space="preserve">A strong top line accompanied by weaker gross margin, suggesting that incremental demand is becoming more expensive to capture or that tariff pressure is arriving sooner than planned.</w:t>
      </w:r>
    </w:p>
    <w:p>
      <w:r>
        <w:pict>
          <v:rect style="width:0;height:1.5pt" o:hralign="center" o:hrstd="t" o:hr="t"/>
        </w:pict>
      </w:r>
    </w:p>
    <w:bookmarkEnd w:id="14"/>
    <w:bookmarkStart w:id="15" w:name="Xfbd9a61ae2ef953b292886e61ad7b9d84cfd3be"/>
    <w:p>
      <w:pPr>
        <w:pStyle w:val="Heading2"/>
      </w:pPr>
      <w:r>
        <w:t xml:space="preserve">2. AUR versus unit growth</w:t>
      </w:r>
    </w:p>
    <w:p>
      <w:pPr>
        <w:pStyle w:val="FirstParagraph"/>
      </w:pPr>
      <w:r>
        <w:t xml:space="preserve">Ralph Lauren has now produced years of consistent AUR growth. Fiscal 2026 AUR increased approximately 15%, including 16% in Q4. Management expected:</w:t>
      </w:r>
    </w:p>
    <w:p>
      <w:pPr>
        <w:pStyle w:val="Compact"/>
        <w:numPr>
          <w:ilvl w:val="0"/>
          <w:numId w:val="1008"/>
        </w:numPr>
      </w:pPr>
      <w:r>
        <w:t xml:space="preserve">High-single-digit AUR growth in Q1.</w:t>
      </w:r>
    </w:p>
    <w:p>
      <w:pPr>
        <w:pStyle w:val="Compact"/>
        <w:numPr>
          <w:ilvl w:val="0"/>
          <w:numId w:val="1008"/>
        </w:numPr>
      </w:pPr>
      <w:r>
        <w:t xml:space="preserve">Mid-single-digit AUR growth for fiscal 2027.</w:t>
      </w:r>
    </w:p>
    <w:p>
      <w:pPr>
        <w:pStyle w:val="Compact"/>
        <w:numPr>
          <w:ilvl w:val="0"/>
          <w:numId w:val="1008"/>
        </w:numPr>
      </w:pPr>
      <w:r>
        <w:t xml:space="preserve">Slightly positive companywide unit growth for the full year.</w:t>
      </w:r>
    </w:p>
    <w:p>
      <w:pPr>
        <w:pStyle w:val="FirstParagraph"/>
      </w:pPr>
      <w:r>
        <w:t xml:space="preserve">AUR gains have come from more than list-price increases. Important contributors include:</w:t>
      </w:r>
    </w:p>
    <w:p>
      <w:pPr>
        <w:pStyle w:val="Compact"/>
        <w:numPr>
          <w:ilvl w:val="0"/>
          <w:numId w:val="1009"/>
        </w:numPr>
      </w:pPr>
      <w:r>
        <w:t xml:space="preserve">Reduced discount depth and frequency.</w:t>
      </w:r>
    </w:p>
    <w:p>
      <w:pPr>
        <w:pStyle w:val="Compact"/>
        <w:numPr>
          <w:ilvl w:val="0"/>
          <w:numId w:val="1009"/>
        </w:numPr>
      </w:pPr>
      <w:r>
        <w:t xml:space="preserve">More full-price selling.</w:t>
      </w:r>
    </w:p>
    <w:p>
      <w:pPr>
        <w:pStyle w:val="Compact"/>
        <w:numPr>
          <w:ilvl w:val="0"/>
          <w:numId w:val="1009"/>
        </w:numPr>
      </w:pPr>
      <w:r>
        <w:t xml:space="preserve">Mix toward direct-to-consumer channels.</w:t>
      </w:r>
    </w:p>
    <w:p>
      <w:pPr>
        <w:pStyle w:val="Compact"/>
        <w:numPr>
          <w:ilvl w:val="0"/>
          <w:numId w:val="1009"/>
        </w:numPr>
      </w:pPr>
      <w:r>
        <w:t xml:space="preserve">Faster growth in Asia.</w:t>
      </w:r>
    </w:p>
    <w:p>
      <w:pPr>
        <w:pStyle w:val="Compact"/>
        <w:numPr>
          <w:ilvl w:val="0"/>
          <w:numId w:val="1009"/>
        </w:numPr>
      </w:pPr>
      <w:r>
        <w:t xml:space="preserve">Higher-priced categories such as outerwear and handbags.</w:t>
      </w:r>
    </w:p>
    <w:p>
      <w:pPr>
        <w:pStyle w:val="Compact"/>
        <w:numPr>
          <w:ilvl w:val="0"/>
          <w:numId w:val="1009"/>
        </w:numPr>
      </w:pPr>
      <w:r>
        <w:t xml:space="preserve">Better merchandising in outlet stores.</w:t>
      </w:r>
    </w:p>
    <w:p>
      <w:pPr>
        <w:pStyle w:val="FirstParagraph"/>
      </w:pPr>
      <w:r>
        <w:t xml:space="preserve">The durability is encouraging, but the comparison is becoming difficult. Investors should distinguish between healthy brand elevation and growth that relies too heavily on mix or pricing.</w:t>
      </w:r>
    </w:p>
    <w:p>
      <w:pPr>
        <w:pStyle w:val="BodyText"/>
      </w:pPr>
      <w:r>
        <w:t xml:space="preserve">The strongest report would show:</w:t>
      </w:r>
    </w:p>
    <w:p>
      <w:pPr>
        <w:pStyle w:val="Compact"/>
        <w:numPr>
          <w:ilvl w:val="0"/>
          <w:numId w:val="1010"/>
        </w:numPr>
      </w:pPr>
      <w:r>
        <w:t xml:space="preserve">High-single-digit AUR growth.</w:t>
      </w:r>
    </w:p>
    <w:p>
      <w:pPr>
        <w:pStyle w:val="Compact"/>
        <w:numPr>
          <w:ilvl w:val="0"/>
          <w:numId w:val="1010"/>
        </w:numPr>
      </w:pPr>
      <w:r>
        <w:t xml:space="preserve">Positive units.</w:t>
      </w:r>
    </w:p>
    <w:p>
      <w:pPr>
        <w:pStyle w:val="Compact"/>
        <w:numPr>
          <w:ilvl w:val="0"/>
          <w:numId w:val="1010"/>
        </w:numPr>
      </w:pPr>
      <w:r>
        <w:t xml:space="preserve">Healthy traffic and conversion.</w:t>
      </w:r>
    </w:p>
    <w:p>
      <w:pPr>
        <w:pStyle w:val="Compact"/>
        <w:numPr>
          <w:ilvl w:val="0"/>
          <w:numId w:val="1010"/>
        </w:numPr>
      </w:pPr>
      <w:r>
        <w:t xml:space="preserve">Continued new-customer recruitment.</w:t>
      </w:r>
    </w:p>
    <w:p>
      <w:pPr>
        <w:pStyle w:val="Compact"/>
        <w:numPr>
          <w:ilvl w:val="0"/>
          <w:numId w:val="1010"/>
        </w:numPr>
      </w:pPr>
      <w:r>
        <w:t xml:space="preserve">No meaningful increase in promotions.</w:t>
      </w:r>
    </w:p>
    <w:p>
      <w:pPr>
        <w:pStyle w:val="FirstParagraph"/>
      </w:pPr>
      <w:r>
        <w:t xml:space="preserve">If AUR remains high but units turn materially negative, investors may question whether the company is approaching the limits of its elevation strategy.</w:t>
      </w:r>
    </w:p>
    <w:p>
      <w:r>
        <w:pict>
          <v:rect style="width:0;height:1.5pt" o:hralign="center" o:hrstd="t" o:hr="t"/>
        </w:pict>
      </w:r>
    </w:p>
    <w:bookmarkEnd w:id="15"/>
    <w:bookmarkStart w:id="16" w:name="Xaed0e7ac1c081f92bc3982792bd493bcec7b940"/>
    <w:p>
      <w:pPr>
        <w:pStyle w:val="Heading2"/>
      </w:pPr>
      <w:r>
        <w:t xml:space="preserve">3. China: normalization is fine, abrupt deceleration is not</w:t>
      </w:r>
    </w:p>
    <w:p>
      <w:pPr>
        <w:pStyle w:val="FirstParagraph"/>
      </w:pPr>
      <w:r>
        <w:t xml:space="preserve">China was the standout market in fiscal 2026:</w:t>
      </w:r>
    </w:p>
    <w:p>
      <w:pPr>
        <w:pStyle w:val="Compact"/>
        <w:numPr>
          <w:ilvl w:val="0"/>
          <w:numId w:val="1011"/>
        </w:numPr>
      </w:pPr>
      <w:r>
        <w:t xml:space="preserve">Q4 sales increased more than 50%.</w:t>
      </w:r>
    </w:p>
    <w:p>
      <w:pPr>
        <w:pStyle w:val="Compact"/>
        <w:numPr>
          <w:ilvl w:val="0"/>
          <w:numId w:val="1011"/>
        </w:numPr>
      </w:pPr>
      <w:r>
        <w:t xml:space="preserve">Full-year sales increased approximately 40%.</w:t>
      </w:r>
    </w:p>
    <w:p>
      <w:pPr>
        <w:pStyle w:val="Compact"/>
        <w:numPr>
          <w:ilvl w:val="0"/>
          <w:numId w:val="1011"/>
        </w:numPr>
      </w:pPr>
      <w:r>
        <w:t xml:space="preserve">The company added stores selectively and expanded its presence on platforms such as Douyin.</w:t>
      </w:r>
    </w:p>
    <w:p>
      <w:pPr>
        <w:pStyle w:val="Compact"/>
        <w:numPr>
          <w:ilvl w:val="0"/>
          <w:numId w:val="1011"/>
        </w:numPr>
      </w:pPr>
      <w:r>
        <w:t xml:space="preserve">Localized campaigns, including Lunar New Year activations, drove both engagement and customer acquisition.</w:t>
      </w:r>
    </w:p>
    <w:p>
      <w:pPr>
        <w:pStyle w:val="FirstParagraph"/>
      </w:pPr>
      <w:r>
        <w:t xml:space="preserve">Management entered fiscal 2027 expecting China to grow approximately in the mid-teens, above its longer-term target but far below the prior year’s exceptional rate.</w:t>
      </w:r>
    </w:p>
    <w:p>
      <w:pPr>
        <w:pStyle w:val="BodyText"/>
      </w:pPr>
      <w:r>
        <w:t xml:space="preserve">A deceleration is therefore expected. The questions are:</w:t>
      </w:r>
    </w:p>
    <w:p>
      <w:pPr>
        <w:pStyle w:val="Compact"/>
        <w:numPr>
          <w:ilvl w:val="0"/>
          <w:numId w:val="1012"/>
        </w:numPr>
      </w:pPr>
      <w:r>
        <w:t xml:space="preserve">Does growth remain at least in the mid-teens?</w:t>
      </w:r>
    </w:p>
    <w:p>
      <w:pPr>
        <w:pStyle w:val="Compact"/>
        <w:numPr>
          <w:ilvl w:val="0"/>
          <w:numId w:val="1012"/>
        </w:numPr>
      </w:pPr>
      <w:r>
        <w:t xml:space="preserve">Are comparable sales and traffic still healthy?</w:t>
      </w:r>
    </w:p>
    <w:p>
      <w:pPr>
        <w:pStyle w:val="Compact"/>
        <w:numPr>
          <w:ilvl w:val="0"/>
          <w:numId w:val="1012"/>
        </w:numPr>
      </w:pPr>
      <w:r>
        <w:t xml:space="preserve">Is growth coming from both existing stores and controlled expansion?</w:t>
      </w:r>
    </w:p>
    <w:p>
      <w:pPr>
        <w:pStyle w:val="Compact"/>
        <w:numPr>
          <w:ilvl w:val="0"/>
          <w:numId w:val="1012"/>
        </w:numPr>
      </w:pPr>
      <w:r>
        <w:t xml:space="preserve">Does the new-customer cohort retain its quality as growth normalizes?</w:t>
      </w:r>
    </w:p>
    <w:p>
      <w:pPr>
        <w:pStyle w:val="Compact"/>
        <w:numPr>
          <w:ilvl w:val="0"/>
          <w:numId w:val="1012"/>
        </w:numPr>
      </w:pPr>
      <w:r>
        <w:t xml:space="preserve">Are there signs that the brand’s desirability is broadening beyond temporary cultural moments?</w:t>
      </w:r>
    </w:p>
    <w:p>
      <w:pPr>
        <w:pStyle w:val="FirstParagraph"/>
      </w:pPr>
      <w:r>
        <w:t xml:space="preserve">China is one of RL’s largest long-term whitespace opportunities, but it is also the region where expectations have moved up the most. A high-teens or better result with disciplined expansion would be a meaningful positive.</w:t>
      </w:r>
    </w:p>
    <w:p>
      <w:r>
        <w:pict>
          <v:rect style="width:0;height:1.5pt" o:hralign="center" o:hrstd="t" o:hr="t"/>
        </w:pict>
      </w:r>
    </w:p>
    <w:bookmarkEnd w:id="16"/>
    <w:bookmarkStart w:id="17" w:name="Xa02baf900ec7b9bb569248f0bedf996f12a6ad6"/>
    <w:p>
      <w:pPr>
        <w:pStyle w:val="Heading2"/>
      </w:pPr>
      <w:r>
        <w:t xml:space="preserve">4. North America: durability of the turnaround</w:t>
      </w:r>
    </w:p>
    <w:p>
      <w:pPr>
        <w:pStyle w:val="FirstParagraph"/>
      </w:pPr>
      <w:r>
        <w:t xml:space="preserve">North America is Ralph Lauren’s largest region, accounting for about 41% of fiscal 2026 revenue. Q4 revenue increased 8%, including:</w:t>
      </w:r>
    </w:p>
    <w:p>
      <w:pPr>
        <w:pStyle w:val="Compact"/>
        <w:numPr>
          <w:ilvl w:val="0"/>
          <w:numId w:val="1013"/>
        </w:numPr>
      </w:pPr>
      <w:r>
        <w:t xml:space="preserve">16% retail comparable growth.</w:t>
      </w:r>
    </w:p>
    <w:p>
      <w:pPr>
        <w:pStyle w:val="Compact"/>
        <w:numPr>
          <w:ilvl w:val="0"/>
          <w:numId w:val="1013"/>
        </w:numPr>
      </w:pPr>
      <w:r>
        <w:t xml:space="preserve">21% digital growth.</w:t>
      </w:r>
    </w:p>
    <w:p>
      <w:pPr>
        <w:pStyle w:val="Compact"/>
        <w:numPr>
          <w:ilvl w:val="0"/>
          <w:numId w:val="1013"/>
        </w:numPr>
      </w:pPr>
      <w:r>
        <w:t xml:space="preserve">Flat wholesale revenue despite deliberate reductions in lower-quality distribution.</w:t>
      </w:r>
    </w:p>
    <w:p>
      <w:pPr>
        <w:pStyle w:val="FirstParagraph"/>
      </w:pPr>
      <w:r>
        <w:t xml:space="preserve">For fiscal 2027, management guided North America revenue to low-single-digit growth, with direct-to-consumer expected to outperform wholesale.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14"/>
        </w:numPr>
      </w:pPr>
      <w:r>
        <w:t xml:space="preserve">Full-price store and digital comparable sales.</w:t>
      </w:r>
    </w:p>
    <w:p>
      <w:pPr>
        <w:pStyle w:val="Compact"/>
        <w:numPr>
          <w:ilvl w:val="0"/>
          <w:numId w:val="1014"/>
        </w:numPr>
      </w:pPr>
      <w:r>
        <w:t xml:space="preserve">Traffic versus AUR contribution.</w:t>
      </w:r>
    </w:p>
    <w:p>
      <w:pPr>
        <w:pStyle w:val="Compact"/>
        <w:numPr>
          <w:ilvl w:val="0"/>
          <w:numId w:val="1014"/>
        </w:numPr>
      </w:pPr>
      <w:r>
        <w:t xml:space="preserve">Outlet discounting and product mix.</w:t>
      </w:r>
    </w:p>
    <w:p>
      <w:pPr>
        <w:pStyle w:val="Compact"/>
        <w:numPr>
          <w:ilvl w:val="0"/>
          <w:numId w:val="1014"/>
        </w:numPr>
      </w:pPr>
      <w:r>
        <w:t xml:space="preserve">Wholesale sell-through and replenishment orders.</w:t>
      </w:r>
    </w:p>
    <w:p>
      <w:pPr>
        <w:pStyle w:val="Compact"/>
        <w:numPr>
          <w:ilvl w:val="0"/>
          <w:numId w:val="1014"/>
        </w:numPr>
      </w:pPr>
      <w:r>
        <w:t xml:space="preserve">Continued exits from lower-tier and off-price distribution.</w:t>
      </w:r>
    </w:p>
    <w:p>
      <w:pPr>
        <w:pStyle w:val="Compact"/>
        <w:numPr>
          <w:ilvl w:val="0"/>
          <w:numId w:val="1014"/>
        </w:numPr>
      </w:pPr>
      <w:r>
        <w:t xml:space="preserve">Any impact from department-store consolidation or store closures.</w:t>
      </w:r>
    </w:p>
    <w:p>
      <w:pPr>
        <w:pStyle w:val="FirstParagraph"/>
      </w:pPr>
      <w:r>
        <w:t xml:space="preserve">A slower headline growth rate is not necessarily negative if it reflects planned distribution cleanup. The important issue is whether</w:t>
      </w:r>
      <w:r>
        <w:t xml:space="preserve"> </w:t>
      </w:r>
      <w:r>
        <w:rPr>
          <w:b/>
          <w:bCs/>
        </w:rPr>
        <w:t xml:space="preserve">underlying full-price demand remains strong enough to offset those deliberate reductions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X478a1379070bdce8cb671a617d4aea6bd56e3dd"/>
    <w:p>
      <w:pPr>
        <w:pStyle w:val="Heading2"/>
      </w:pPr>
      <w:r>
        <w:t xml:space="preserve">5. Europe and the wholesale cadence</w:t>
      </w:r>
    </w:p>
    <w:p>
      <w:pPr>
        <w:pStyle w:val="FirstParagraph"/>
      </w:pPr>
      <w:r>
        <w:t xml:space="preserve">Europe produced 6% constant-currency growth in Q4 and 9% for fiscal 2026. Management nevertheless entered fiscal 2027 with a more cautious outlook due to:</w:t>
      </w:r>
    </w:p>
    <w:p>
      <w:pPr>
        <w:pStyle w:val="Compact"/>
        <w:numPr>
          <w:ilvl w:val="0"/>
          <w:numId w:val="1015"/>
        </w:numPr>
      </w:pPr>
      <w:r>
        <w:t xml:space="preserve">Tough comparisons.</w:t>
      </w:r>
    </w:p>
    <w:p>
      <w:pPr>
        <w:pStyle w:val="Compact"/>
        <w:numPr>
          <w:ilvl w:val="0"/>
          <w:numId w:val="1015"/>
        </w:numPr>
      </w:pPr>
      <w:r>
        <w:t xml:space="preserve">Consumer-sentiment pressure.</w:t>
      </w:r>
    </w:p>
    <w:p>
      <w:pPr>
        <w:pStyle w:val="Compact"/>
        <w:numPr>
          <w:ilvl w:val="0"/>
          <w:numId w:val="1015"/>
        </w:numPr>
      </w:pPr>
      <w:r>
        <w:t xml:space="preserve">Higher energy costs.</w:t>
      </w:r>
    </w:p>
    <w:p>
      <w:pPr>
        <w:pStyle w:val="Compact"/>
        <w:numPr>
          <w:ilvl w:val="0"/>
          <w:numId w:val="1015"/>
        </w:numPr>
      </w:pPr>
      <w:r>
        <w:t xml:space="preserve">Softer inbound tourism.</w:t>
      </w:r>
    </w:p>
    <w:p>
      <w:pPr>
        <w:pStyle w:val="Compact"/>
        <w:numPr>
          <w:ilvl w:val="0"/>
          <w:numId w:val="1015"/>
        </w:numPr>
      </w:pPr>
      <w:r>
        <w:t xml:space="preserve">Disruption affecting Middle Eastern partner sales.</w:t>
      </w:r>
    </w:p>
    <w:p>
      <w:pPr>
        <w:pStyle w:val="Compact"/>
        <w:numPr>
          <w:ilvl w:val="0"/>
          <w:numId w:val="1015"/>
        </w:numPr>
      </w:pPr>
      <w:r>
        <w:t xml:space="preserve">A normalization in wholesale growth.</w:t>
      </w:r>
    </w:p>
    <w:p>
      <w:pPr>
        <w:pStyle w:val="FirstParagraph"/>
      </w:pPr>
      <w:r>
        <w:t xml:space="preserve">Management previously indicated that Europe’s strongest wholesale growth should occur in Q1 because of shipment timing. Consequently, a solid Q1 followed by more conservative Q2 guidance would not automatically represent deterioration.</w:t>
      </w:r>
    </w:p>
    <w:p>
      <w:pPr>
        <w:pStyle w:val="BodyText"/>
      </w:pPr>
      <w:r>
        <w:t xml:space="preserve">The key indicators are:</w:t>
      </w:r>
    </w:p>
    <w:p>
      <w:pPr>
        <w:pStyle w:val="Compact"/>
        <w:numPr>
          <w:ilvl w:val="0"/>
          <w:numId w:val="1016"/>
        </w:numPr>
      </w:pPr>
      <w:r>
        <w:t xml:space="preserve">Europe constant-currency growth relative to the low-single-digit Q1 expectation.</w:t>
      </w:r>
    </w:p>
    <w:p>
      <w:pPr>
        <w:pStyle w:val="Compact"/>
        <w:numPr>
          <w:ilvl w:val="0"/>
          <w:numId w:val="1016"/>
        </w:numPr>
      </w:pPr>
      <w:r>
        <w:t xml:space="preserve">Retail comparable sales and digital performance.</w:t>
      </w:r>
    </w:p>
    <w:p>
      <w:pPr>
        <w:pStyle w:val="Compact"/>
        <w:numPr>
          <w:ilvl w:val="0"/>
          <w:numId w:val="1016"/>
        </w:numPr>
      </w:pPr>
      <w:r>
        <w:t xml:space="preserve">Wholesale reorders and sell-through.</w:t>
      </w:r>
    </w:p>
    <w:p>
      <w:pPr>
        <w:pStyle w:val="Compact"/>
        <w:numPr>
          <w:ilvl w:val="0"/>
          <w:numId w:val="1016"/>
        </w:numPr>
      </w:pPr>
      <w:r>
        <w:t xml:space="preserve">Whether tourism softness is worsening.</w:t>
      </w:r>
    </w:p>
    <w:p>
      <w:pPr>
        <w:pStyle w:val="Compact"/>
        <w:numPr>
          <w:ilvl w:val="0"/>
          <w:numId w:val="1016"/>
        </w:numPr>
      </w:pPr>
      <w:r>
        <w:t xml:space="preserve">Whether full-year Europe guidance remains low- to mid-single digits.</w:t>
      </w:r>
    </w:p>
    <w:p>
      <w:r>
        <w:pict>
          <v:rect style="width:0;height:1.5pt" o:hralign="center" o:hrstd="t" o:hr="t"/>
        </w:pict>
      </w:r>
    </w:p>
    <w:bookmarkEnd w:id="18"/>
    <w:bookmarkStart w:id="19" w:name="X87452aa29d01abb5da1dcb358f9642cacf877bf"/>
    <w:p>
      <w:pPr>
        <w:pStyle w:val="Heading2"/>
      </w:pPr>
      <w:r>
        <w:t xml:space="preserve">6. Inventory and working capital</w:t>
      </w:r>
    </w:p>
    <w:p>
      <w:pPr>
        <w:pStyle w:val="FirstParagraph"/>
      </w:pPr>
      <w:r>
        <w:t xml:space="preserve">Year-end inventory was approximately $1.0 billion, up 7% reported and about 5% in constant currency. Management described its composition as healthy and aligned with future demand.</w:t>
      </w:r>
    </w:p>
    <w:p>
      <w:pPr>
        <w:pStyle w:val="BodyText"/>
      </w:pPr>
      <w:r>
        <w:t xml:space="preserve">Inventory will naturally increase in the first half ahead of peak selling periods, but investors should compare its growth with forward revenue expectations.</w:t>
      </w:r>
    </w:p>
    <w:p>
      <w:pPr>
        <w:pStyle w:val="BodyText"/>
      </w:pPr>
      <w:r>
        <w:t xml:space="preserve">A favorable result would include:</w:t>
      </w:r>
    </w:p>
    <w:p>
      <w:pPr>
        <w:pStyle w:val="Compact"/>
        <w:numPr>
          <w:ilvl w:val="0"/>
          <w:numId w:val="1017"/>
        </w:numPr>
      </w:pPr>
      <w:r>
        <w:t xml:space="preserve">Inventory growth reasonably aligned with sales.</w:t>
      </w:r>
    </w:p>
    <w:p>
      <w:pPr>
        <w:pStyle w:val="Compact"/>
        <w:numPr>
          <w:ilvl w:val="0"/>
          <w:numId w:val="1017"/>
        </w:numPr>
      </w:pPr>
      <w:r>
        <w:t xml:space="preserve">Predominantly current, full-price product.</w:t>
      </w:r>
    </w:p>
    <w:p>
      <w:pPr>
        <w:pStyle w:val="Compact"/>
        <w:numPr>
          <w:ilvl w:val="0"/>
          <w:numId w:val="1017"/>
        </w:numPr>
      </w:pPr>
      <w:r>
        <w:t xml:space="preserve">No increase in aged inventory.</w:t>
      </w:r>
    </w:p>
    <w:p>
      <w:pPr>
        <w:pStyle w:val="Compact"/>
        <w:numPr>
          <w:ilvl w:val="0"/>
          <w:numId w:val="1017"/>
        </w:numPr>
      </w:pPr>
      <w:r>
        <w:t xml:space="preserve">Continued low promotional activity.</w:t>
      </w:r>
    </w:p>
    <w:p>
      <w:pPr>
        <w:pStyle w:val="Compact"/>
        <w:numPr>
          <w:ilvl w:val="0"/>
          <w:numId w:val="1017"/>
        </w:numPr>
      </w:pPr>
      <w:r>
        <w:t xml:space="preserve">Confidence that inventory can support upside demand without creating markdown risk.</w:t>
      </w:r>
    </w:p>
    <w:p>
      <w:pPr>
        <w:pStyle w:val="FirstParagraph"/>
      </w:pPr>
      <w:r>
        <w:t xml:space="preserve">An inventory build well above sales growth would weaken the quality of an otherwise acceptable quarter.</w:t>
      </w:r>
    </w:p>
    <w:p>
      <w:r>
        <w:pict>
          <v:rect style="width:0;height:1.5pt" o:hralign="center" o:hrstd="t" o:hr="t"/>
        </w:pict>
      </w:r>
    </w:p>
    <w:bookmarkEnd w:id="19"/>
    <w:bookmarkStart w:id="23" w:name="Xfada59f89c4107b8632f9999861da99580f9bc7"/>
    <w:p>
      <w:pPr>
        <w:pStyle w:val="Heading2"/>
      </w:pPr>
      <w:r>
        <w:t xml:space="preserve">Guidance: the likely driver of the stock reaction</w:t>
      </w:r>
    </w:p>
    <w:p>
      <w:pPr>
        <w:pStyle w:val="FirstParagraph"/>
      </w:pPr>
      <w:r>
        <w:t xml:space="preserve">RL’s initial full-year outlook was intentionally prudent relative to fiscal 2026’s 12% constant-currency growth. The company guided to 4%–5% constant-currency growth and 40–60 basis points of operating-margin expansion.</w:t>
      </w:r>
    </w:p>
    <w:p>
      <w:pPr>
        <w:pStyle w:val="BodyText"/>
      </w:pPr>
      <w:r>
        <w:t xml:space="preserve">Because Q1 was expected to be one of the stronger margin quarters, investors will probably evaluate guidance as follows:</w:t>
      </w:r>
    </w:p>
    <w:bookmarkStart w:id="20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18"/>
        </w:numPr>
      </w:pPr>
      <w:r>
        <w:t xml:space="preserve">Revenue and margins exceed consensus.</w:t>
      </w:r>
    </w:p>
    <w:p>
      <w:pPr>
        <w:pStyle w:val="Compact"/>
        <w:numPr>
          <w:ilvl w:val="0"/>
          <w:numId w:val="1018"/>
        </w:numPr>
      </w:pPr>
      <w:r>
        <w:t xml:space="preserve">FY27 revenue guidance is increased above 4%–5% constant currency, or management signals upside within the range.</w:t>
      </w:r>
    </w:p>
    <w:p>
      <w:pPr>
        <w:pStyle w:val="Compact"/>
        <w:numPr>
          <w:ilvl w:val="0"/>
          <w:numId w:val="1018"/>
        </w:numPr>
      </w:pPr>
      <w:r>
        <w:t xml:space="preserve">Operating-margin expansion is raised above 40–60 basis points.</w:t>
      </w:r>
    </w:p>
    <w:p>
      <w:pPr>
        <w:pStyle w:val="Compact"/>
        <w:numPr>
          <w:ilvl w:val="0"/>
          <w:numId w:val="1018"/>
        </w:numPr>
      </w:pPr>
      <w:r>
        <w:t xml:space="preserve">Tariff assumptions are updated without erasing second-half margin expansion.</w:t>
      </w:r>
    </w:p>
    <w:p>
      <w:pPr>
        <w:pStyle w:val="Compact"/>
        <w:numPr>
          <w:ilvl w:val="0"/>
          <w:numId w:val="1018"/>
        </w:numPr>
      </w:pPr>
      <w:r>
        <w:t xml:space="preserve">China remains comfortably in double-digit growth.</w:t>
      </w:r>
    </w:p>
    <w:p>
      <w:pPr>
        <w:pStyle w:val="Compact"/>
        <w:numPr>
          <w:ilvl w:val="0"/>
          <w:numId w:val="1018"/>
        </w:numPr>
      </w:pPr>
      <w:r>
        <w:t xml:space="preserve">Units remain positive alongside AUR growth.</w:t>
      </w:r>
    </w:p>
    <w:bookmarkEnd w:id="20"/>
    <w:bookmarkStart w:id="21" w:name="acceptable-but-potentially-insufficient"/>
    <w:p>
      <w:pPr>
        <w:pStyle w:val="Heading3"/>
      </w:pPr>
      <w:r>
        <w:t xml:space="preserve">Acceptable but potentially insufficient</w:t>
      </w:r>
    </w:p>
    <w:p>
      <w:pPr>
        <w:pStyle w:val="Compact"/>
        <w:numPr>
          <w:ilvl w:val="0"/>
          <w:numId w:val="1019"/>
        </w:numPr>
      </w:pPr>
      <w:r>
        <w:t xml:space="preserve">Q1 modestly beats expectations.</w:t>
      </w:r>
    </w:p>
    <w:p>
      <w:pPr>
        <w:pStyle w:val="Compact"/>
        <w:numPr>
          <w:ilvl w:val="0"/>
          <w:numId w:val="1019"/>
        </w:numPr>
      </w:pPr>
      <w:r>
        <w:t xml:space="preserve">Full-year guidance is reiterated.</w:t>
      </w:r>
    </w:p>
    <w:p>
      <w:pPr>
        <w:pStyle w:val="Compact"/>
        <w:numPr>
          <w:ilvl w:val="0"/>
          <w:numId w:val="1019"/>
        </w:numPr>
      </w:pPr>
      <w:r>
        <w:t xml:space="preserve">Management remains confident but cites tariff and macro uncertainty.</w:t>
      </w:r>
    </w:p>
    <w:p>
      <w:pPr>
        <w:pStyle w:val="Compact"/>
        <w:numPr>
          <w:ilvl w:val="0"/>
          <w:numId w:val="1019"/>
        </w:numPr>
      </w:pPr>
      <w:r>
        <w:t xml:space="preserve">Revenue growth remains high quality, with healthy inventory and full-price selling.</w:t>
      </w:r>
    </w:p>
    <w:p>
      <w:pPr>
        <w:pStyle w:val="FirstParagraph"/>
      </w:pPr>
      <w:r>
        <w:t xml:space="preserve">Given the share-price appreciation, a routine beat-and-reiterate could produce a muted reaction.</w:t>
      </w:r>
    </w:p>
    <w:bookmarkEnd w:id="21"/>
    <w:bookmarkStart w:id="22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20"/>
        </w:numPr>
      </w:pPr>
      <w:r>
        <w:t xml:space="preserve">Revenue growth is driven primarily by AUR and mix while units decline.</w:t>
      </w:r>
    </w:p>
    <w:p>
      <w:pPr>
        <w:pStyle w:val="Compact"/>
        <w:numPr>
          <w:ilvl w:val="0"/>
          <w:numId w:val="1020"/>
        </w:numPr>
      </w:pPr>
      <w:r>
        <w:t xml:space="preserve">Gross margin falls short despite strong sales.</w:t>
      </w:r>
    </w:p>
    <w:p>
      <w:pPr>
        <w:pStyle w:val="Compact"/>
        <w:numPr>
          <w:ilvl w:val="0"/>
          <w:numId w:val="1020"/>
        </w:numPr>
      </w:pPr>
      <w:r>
        <w:t xml:space="preserve">Tariffs lead to lower second-half margin expectations.</w:t>
      </w:r>
    </w:p>
    <w:p>
      <w:pPr>
        <w:pStyle w:val="Compact"/>
        <w:numPr>
          <w:ilvl w:val="0"/>
          <w:numId w:val="1020"/>
        </w:numPr>
      </w:pPr>
      <w:r>
        <w:t xml:space="preserve">China slows materially below the mid-teens plan.</w:t>
      </w:r>
    </w:p>
    <w:p>
      <w:pPr>
        <w:pStyle w:val="Compact"/>
        <w:numPr>
          <w:ilvl w:val="0"/>
          <w:numId w:val="1020"/>
        </w:numPr>
      </w:pPr>
      <w:r>
        <w:t xml:space="preserve">North American full-price comps weaken.</w:t>
      </w:r>
    </w:p>
    <w:p>
      <w:pPr>
        <w:pStyle w:val="Compact"/>
        <w:numPr>
          <w:ilvl w:val="0"/>
          <w:numId w:val="1020"/>
        </w:numPr>
      </w:pPr>
      <w:r>
        <w:t xml:space="preserve">Inventory grows materially faster than sales.</w:t>
      </w:r>
    </w:p>
    <w:p>
      <w:pPr>
        <w:pStyle w:val="Compact"/>
        <w:numPr>
          <w:ilvl w:val="0"/>
          <w:numId w:val="1020"/>
        </w:numPr>
      </w:pPr>
      <w:r>
        <w:t xml:space="preserve">Full-year guidance is reduced or the company withdraws its expectation for second-half gross-margin expansion.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questions-for-management"/>
    <w:p>
      <w:pPr>
        <w:pStyle w:val="Heading2"/>
      </w:pPr>
      <w:r>
        <w:t xml:space="preserve">Questions for management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How have the tariffs introduced in late July changed the fiscal 2027 gross-margin assumptions?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Does guidance include any benefit from potential refunds of previously paid tariffs?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How much of Q1 comparable growth came from AUR versus units, traffic and conversion?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Is the company still expecting slightly positive unit growth for fiscal 2027?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How is China performing after lapping last year’s 30%-plus Q1 growth?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Are North American outlet discount rates continuing to decline without significant unit pressure?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What are wholesale partners communicating about fall orders and replenishment demand?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Does management still expect every geographic region to contribute to operating-margin expansion?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Is marketing spending still expected to be approximately 8% of sales, and where is RL seeing the highest incremental return?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How should investors think about second-half margins under the latest sourcing and tariff assumptions?</w:t>
      </w:r>
    </w:p>
    <w:p>
      <w:r>
        <w:pict>
          <v:rect style="width:0;height:1.5pt" o:hralign="center" o:hrstd="t" o:hr="t"/>
        </w:pict>
      </w:r>
    </w:p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Ralph Lauren’s operating momentum remains unusually strong for a global apparel company. The brand is recruiting new and younger customers, expanding into higher-value categories, growing direct-to-consumer sales and improving full-price sell-through. Its geographic diversification and strong balance sheet provide additional resilience.</w:t>
      </w:r>
    </w:p>
    <w:p>
      <w:pPr>
        <w:pStyle w:val="BodyText"/>
      </w:pPr>
      <w:r>
        <w:t xml:space="preserve">But the earnings bar has risen with the stock. The market is likely to look past a simple EPS beat and focus on the</w:t>
      </w:r>
      <w:r>
        <w:t xml:space="preserve"> </w:t>
      </w:r>
      <w:r>
        <w:rPr>
          <w:b/>
          <w:bCs/>
        </w:rPr>
        <w:t xml:space="preserve">durability and composition of growth</w:t>
      </w:r>
      <w:r>
        <w:t xml:space="preserve">.</w:t>
      </w:r>
    </w:p>
    <w:p>
      <w:pPr>
        <w:pStyle w:val="BodyText"/>
      </w:pPr>
      <w:r>
        <w:t xml:space="preserve">The most important combination would be:</w:t>
      </w:r>
    </w:p>
    <w:p>
      <w:pPr>
        <w:pStyle w:val="Compact"/>
        <w:numPr>
          <w:ilvl w:val="0"/>
          <w:numId w:val="1022"/>
        </w:numPr>
      </w:pPr>
      <w:r>
        <w:t xml:space="preserve">Approximately high-single-digit constant-currency revenue growth.</w:t>
      </w:r>
    </w:p>
    <w:p>
      <w:pPr>
        <w:pStyle w:val="Compact"/>
        <w:numPr>
          <w:ilvl w:val="0"/>
          <w:numId w:val="1022"/>
        </w:numPr>
      </w:pPr>
      <w:r>
        <w:t xml:space="preserve">Gross margin above 73%.</w:t>
      </w:r>
    </w:p>
    <w:p>
      <w:pPr>
        <w:pStyle w:val="Compact"/>
        <w:numPr>
          <w:ilvl w:val="0"/>
          <w:numId w:val="1022"/>
        </w:numPr>
      </w:pPr>
      <w:r>
        <w:t xml:space="preserve">Positive units alongside continued AUR growth.</w:t>
      </w:r>
    </w:p>
    <w:p>
      <w:pPr>
        <w:pStyle w:val="Compact"/>
        <w:numPr>
          <w:ilvl w:val="0"/>
          <w:numId w:val="1022"/>
        </w:numPr>
      </w:pPr>
      <w:r>
        <w:t xml:space="preserve">Mid-teens-or-better China growth.</w:t>
      </w:r>
    </w:p>
    <w:p>
      <w:pPr>
        <w:pStyle w:val="Compact"/>
        <w:numPr>
          <w:ilvl w:val="0"/>
          <w:numId w:val="1022"/>
        </w:numPr>
      </w:pPr>
      <w:r>
        <w:t xml:space="preserve">Healthy North American full-price demand.</w:t>
      </w:r>
    </w:p>
    <w:p>
      <w:pPr>
        <w:pStyle w:val="Compact"/>
        <w:numPr>
          <w:ilvl w:val="0"/>
          <w:numId w:val="1022"/>
        </w:numPr>
      </w:pPr>
      <w:r>
        <w:t xml:space="preserve">Controlled inventory.</w:t>
      </w:r>
    </w:p>
    <w:p>
      <w:pPr>
        <w:pStyle w:val="Compact"/>
        <w:numPr>
          <w:ilvl w:val="0"/>
          <w:numId w:val="1022"/>
        </w:numPr>
      </w:pPr>
      <w:r>
        <w:t xml:space="preserve">Full-year guidance maintained or raised after incorporating the latest tariff environment.</w:t>
      </w:r>
    </w:p>
    <w:p>
      <w:pPr>
        <w:pStyle w:val="FirstParagraph"/>
      </w:pPr>
      <w:r>
        <w:t xml:space="preserve">If Ralph Lauren delivers those elements, the report would reinforce the argument that its brand elevation is a structural transformation rather than a temporary fashion cycle. If margins or units disappoint, however, the stock’s strong run leaves limited room for execution slippage.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2026-08-06T00:27:32Z</dcterms:created>
  <dcterms:modified xsi:type="dcterms:W3CDTF">2026-08-06T00:27:32Z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