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l-earnings-predictions--2026-08-06"/>
    <w:p>
      <w:pPr>
        <w:pStyle w:val="Heading1"/>
      </w:pPr>
      <w:r>
        <w:t xml:space="preserve">RL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Constant-currency revenue growth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~8.7% vs. cons 8.0%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gross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~73.5% vs. cons 73.25%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~$4.45 vs. cons $4.29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constant-currency revenue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~4.5% vs. cons 5.2% (FY27)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operating-margin expansion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~50 bps vs. cons 70 bps (FY27)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Asia constant-currency revenue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~9.0% vs. cons 10.5% (FY27)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-5.5% (FOLLOW-THROUGH)</w:t>
            </w:r>
          </w:p>
        </w:tc>
        <w:tc>
          <w:tcPr/>
          <w:p>
            <w:pPr>
              <w:pStyle w:val="Compact"/>
            </w:pPr>
            <w:r>
              <w:t xml:space="preserve">A Q1 EPS beat of ~$4.45 versus $4.29 consensus is likely outweighed by FY27 revenue guidance of ~4.5% versus ~5.2% consensus and operating-margin expansion of ~50 bps versus ~70 bps consensus, pulling out-period estimates lower.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2026-08-06T00:26:20Z</dcterms:created>
  <dcterms:modified xsi:type="dcterms:W3CDTF">2026-08-06T00:26:20Z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