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09a6443ad6ed965554b67d169842c7d3f33f56b"/>
    <w:p>
      <w:pPr>
        <w:pStyle w:val="Heading1"/>
      </w:pPr>
      <w:r>
        <w:t xml:space="preserve">Ralph Lauren (NYSE: RL) — Fiscal 2027 Q1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August 6,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Ralph Lauren is scheduled to report</w:t>
      </w:r>
      <w:r>
        <w:t xml:space="preserve"> </w:t>
      </w:r>
      <w:r>
        <w:rPr>
          <w:b/>
          <w:bCs/>
        </w:rPr>
        <w:t xml:space="preserve">fiscal 2027 first-quarter</w:t>
      </w:r>
      <w:r>
        <w:t xml:space="preserve"> </w:t>
      </w:r>
      <w:r>
        <w:t xml:space="preserve">results before the U.S. market opens.</w:t>
      </w:r>
    </w:p>
    <w:bookmarkStart w:id="9" w:name="investment-view-a-beat-may-not-be-enough"/>
    <w:p>
      <w:pPr>
        <w:pStyle w:val="Heading2"/>
      </w:pPr>
      <w:r>
        <w:t xml:space="preserve">Investment view: a beat may not be enough</w:t>
      </w:r>
    </w:p>
    <w:p>
      <w:pPr>
        <w:pStyle w:val="FirstParagraph"/>
      </w:pPr>
      <w:r>
        <w:t xml:space="preserve">RL enters earnings with strong operating momentum, a favorable near-term margin setup, and a valuation/setup that appears to anticipate another solid print. The central question is less whether the company can meet its initial outlook and more whether it can</w:t>
      </w:r>
      <w:r>
        <w:t xml:space="preserve"> </w:t>
      </w:r>
      <w:r>
        <w:rPr>
          <w:b/>
          <w:bCs/>
        </w:rPr>
        <w:t xml:space="preserve">support a second-half tariff-cost headwind while preserving its full-year revenue and margin algorithm</w:t>
      </w:r>
      <w:r>
        <w:t xml:space="preserve">.</w:t>
      </w:r>
    </w:p>
    <w:p>
      <w:pPr>
        <w:pStyle w:val="BodyText"/>
      </w:pPr>
      <w:r>
        <w:t xml:space="preserve">Management’s fiscal 2027 guide called for: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Constant-currency revenue growth of 4%–5%</w:t>
      </w:r>
      <w:r>
        <w:t xml:space="preserve"> </w:t>
      </w:r>
      <w:r>
        <w:t xml:space="preserve">for the year, plus ~1 point from the 53rd week.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Q1 constant-currency revenue growth of mid- to high-single digits.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Q1 operating-margin expansion of 80–120 bps</w:t>
      </w:r>
      <w:r>
        <w:t xml:space="preserve">, led by gross-margin expansion.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FY27 operating-margin expansion of 40–60 bps</w:t>
      </w:r>
      <w:r>
        <w:t xml:space="preserve">, with stronger first-half expansion, partly because the prevailing tariff rate was expected to be lower early in the year.</w:t>
      </w:r>
    </w:p>
    <w:p>
      <w:pPr>
        <w:pStyle w:val="FirstParagraph"/>
      </w:pPr>
      <w:r>
        <w:t xml:space="preserve">The Street’s pre-report expectations appear to be somewhat more demanding than that framework: roughly</w:t>
      </w:r>
      <w:r>
        <w:t xml:space="preserve"> </w:t>
      </w:r>
      <w:r>
        <w:rPr>
          <w:b/>
          <w:bCs/>
        </w:rPr>
        <w:t xml:space="preserve">8% FX-neutral sales growth</w:t>
      </w:r>
      <w:r>
        <w:t xml:space="preserve">,</w:t>
      </w:r>
      <w:r>
        <w:t xml:space="preserve"> </w:t>
      </w:r>
      <w:r>
        <w:rPr>
          <w:b/>
          <w:bCs/>
        </w:rPr>
        <w:t xml:space="preserve">73.25% gross margin</w:t>
      </w:r>
      <w:r>
        <w:t xml:space="preserve">,</w:t>
      </w:r>
      <w:r>
        <w:t xml:space="preserve"> </w:t>
      </w:r>
      <w:r>
        <w:rPr>
          <w:b/>
          <w:bCs/>
        </w:rPr>
        <w:t xml:space="preserve">18.3% operating margin</w:t>
      </w:r>
      <w:r>
        <w:t xml:space="preserve">, and</w:t>
      </w:r>
      <w:r>
        <w:t xml:space="preserve"> </w:t>
      </w:r>
      <w:r>
        <w:rPr>
          <w:b/>
          <w:bCs/>
        </w:rPr>
        <w:t xml:space="preserve">$4.29 EPS</w:t>
      </w:r>
      <w:r>
        <w:t xml:space="preserve">. That implies investors are looking for a clear beat or, at minimum, confirmation that the company’s margin and demand trends remain stronger than the base guide.</w:t>
      </w:r>
    </w:p>
    <w:bookmarkEnd w:id="9"/>
    <w:bookmarkStart w:id="15" w:name="what-matters-most-this-quarter"/>
    <w:p>
      <w:pPr>
        <w:pStyle w:val="Heading2"/>
      </w:pPr>
      <w:r>
        <w:t xml:space="preserve">What matters most this quarter</w:t>
      </w:r>
    </w:p>
    <w:bookmarkStart w:id="10" w:name="X59bef5855af2aa01efe7a4b106e9267e8dfb246"/>
    <w:p>
      <w:pPr>
        <w:pStyle w:val="Heading3"/>
      </w:pPr>
      <w:r>
        <w:t xml:space="preserve">1. Revenue quality: DTC, AUR, and unit growth</w:t>
      </w:r>
    </w:p>
    <w:p>
      <w:pPr>
        <w:pStyle w:val="FirstParagraph"/>
      </w:pPr>
      <w:r>
        <w:t xml:space="preserve">RL’s investment case is built on</w:t>
      </w:r>
      <w:r>
        <w:t xml:space="preserve"> </w:t>
      </w:r>
      <w:r>
        <w:rPr>
          <w:i/>
          <w:iCs/>
        </w:rPr>
        <w:t xml:space="preserve">quality of sales</w:t>
      </w:r>
      <w:r>
        <w:t xml:space="preserve">, rather than volume at any cost. The company has been reducing discounting and lower-tier distribution while shifting mix toward full-price channels, higher-value consumers, women’s apparel, outerwear, handbags, digital, and international markets.</w:t>
      </w:r>
    </w:p>
    <w:p>
      <w:pPr>
        <w:pStyle w:val="BodyText"/>
      </w:pPr>
      <w:r>
        <w:t xml:space="preserve">Last year’s Q1 was very strong: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Fiscal Q1 2026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growth, constant currency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DTC comp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AUR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gross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72.1%</w:t>
            </w:r>
            <w:r>
              <w:t xml:space="preserve"> </w:t>
            </w:r>
            <w:r>
              <w:t xml:space="preserve">constant currency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16.6%</w:t>
            </w:r>
            <w:r>
              <w:t xml:space="preserve"> </w:t>
            </w:r>
            <w:r>
              <w:t xml:space="preserve">constant currency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$3.77</w:t>
            </w:r>
          </w:p>
        </w:tc>
      </w:tr>
    </w:tbl>
    <w:p>
      <w:pPr>
        <w:pStyle w:val="BodyText"/>
      </w:pPr>
      <w:r>
        <w:t xml:space="preserve">The comparison is therefore not easy. A mid/high-single-digit Q1 growth outcome would represent deceleration from last year, but that is already embedded in management’s outlook and reflects a more mature growth base. The more important read-through will be whether RL can continue producing:</w:t>
      </w:r>
    </w:p>
    <w:p>
      <w:pPr>
        <w:pStyle w:val="Compact"/>
        <w:numPr>
          <w:ilvl w:val="0"/>
          <w:numId w:val="1002"/>
        </w:numPr>
      </w:pPr>
      <w:r>
        <w:t xml:space="preserve">Positive</w:t>
      </w:r>
      <w:r>
        <w:t xml:space="preserve"> </w:t>
      </w:r>
      <w:r>
        <w:rPr>
          <w:b/>
          <w:bCs/>
        </w:rPr>
        <w:t xml:space="preserve">full-price DTC comps</w:t>
      </w:r>
      <w:r>
        <w:t xml:space="preserve"> </w:t>
      </w:r>
      <w:r>
        <w:t xml:space="preserve">across regions;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Mid- to high-single-digit AUR</w:t>
      </w:r>
      <w:r>
        <w:t xml:space="preserve"> </w:t>
      </w:r>
      <w:r>
        <w:t xml:space="preserve">growth, as guided;</w:t>
      </w:r>
    </w:p>
    <w:p>
      <w:pPr>
        <w:pStyle w:val="Compact"/>
        <w:numPr>
          <w:ilvl w:val="0"/>
          <w:numId w:val="1002"/>
        </w:numPr>
      </w:pPr>
      <w:r>
        <w:t xml:space="preserve">At least modest positive unit growth, particularly in full-price, digital, China, women’s, outerwear, and handbags;</w:t>
      </w:r>
    </w:p>
    <w:p>
      <w:pPr>
        <w:pStyle w:val="Compact"/>
        <w:numPr>
          <w:ilvl w:val="0"/>
          <w:numId w:val="1002"/>
        </w:numPr>
      </w:pPr>
      <w:r>
        <w:t xml:space="preserve">Continued restraint in North American off-price and lower-tier wholesale distribution.</w:t>
      </w:r>
    </w:p>
    <w:p>
      <w:pPr>
        <w:pStyle w:val="FirstParagraph"/>
      </w:pPr>
      <w:r>
        <w:rPr>
          <w:b/>
          <w:bCs/>
        </w:rPr>
        <w:t xml:space="preserve">Watch item:</w:t>
      </w:r>
      <w:r>
        <w:t xml:space="preserve"> </w:t>
      </w:r>
      <w:r>
        <w:t xml:space="preserve">AUR remains a strength, but it cannot indefinitely carry the entire growth model. Evidence that unit growth is holding up—or broadening beyond high-potential categories—would reinforce the durability of the top-line algorithm.</w:t>
      </w:r>
    </w:p>
    <w:p>
      <w:r>
        <w:pict>
          <v:rect style="width:0;height:1.5pt" o:hralign="center" o:hrstd="t" o:hr="t"/>
        </w:pict>
      </w:r>
    </w:p>
    <w:bookmarkEnd w:id="10"/>
    <w:bookmarkStart w:id="11" w:name="X4f53c7f4b0f6a5ff0fe52e118181db8cd732236"/>
    <w:p>
      <w:pPr>
        <w:pStyle w:val="Heading3"/>
      </w:pPr>
      <w:r>
        <w:t xml:space="preserve">2. Gross margin: the key earnings sensitivity</w:t>
      </w:r>
    </w:p>
    <w:p>
      <w:pPr>
        <w:pStyle w:val="FirstParagraph"/>
      </w:pPr>
      <w:r>
        <w:t xml:space="preserve">Margin is the most consequential swing factor in this print. The Street’s implied</w:t>
      </w:r>
      <w:r>
        <w:t xml:space="preserve"> </w:t>
      </w:r>
      <w:r>
        <w:rPr>
          <w:b/>
          <w:bCs/>
        </w:rPr>
        <w:t xml:space="preserve">73.25% gross-margin expectation</w:t>
      </w:r>
      <w:r>
        <w:t xml:space="preserve"> </w:t>
      </w:r>
      <w:r>
        <w:t xml:space="preserve">would represent meaningful expansion from the prior-year Q1 constant-currency level of 72.1%.</w:t>
      </w:r>
    </w:p>
    <w:p>
      <w:pPr>
        <w:pStyle w:val="BodyText"/>
      </w:pPr>
      <w:r>
        <w:t xml:space="preserve">The bull case is credible:</w:t>
      </w:r>
    </w:p>
    <w:p>
      <w:pPr>
        <w:pStyle w:val="Compact"/>
        <w:numPr>
          <w:ilvl w:val="0"/>
          <w:numId w:val="1003"/>
        </w:numPr>
      </w:pPr>
      <w:r>
        <w:t xml:space="preserve">AUR has been supported by full-price selling, lower promotions, better product mix, and favorable geographic/channel mix.</w:t>
      </w:r>
    </w:p>
    <w:p>
      <w:pPr>
        <w:pStyle w:val="Compact"/>
        <w:numPr>
          <w:ilvl w:val="0"/>
          <w:numId w:val="1003"/>
        </w:numPr>
      </w:pPr>
      <w:r>
        <w:t xml:space="preserve">High-potential categories—women’s apparel, outerwear, and handbags—have been growing more than 20% and are AUR accretive.</w:t>
      </w:r>
    </w:p>
    <w:p>
      <w:pPr>
        <w:pStyle w:val="Compact"/>
        <w:numPr>
          <w:ilvl w:val="0"/>
          <w:numId w:val="1003"/>
        </w:numPr>
      </w:pPr>
      <w:r>
        <w:t xml:space="preserve">The company expects first-half margin expansion to benefit from the lower prevailing tariff environment.</w:t>
      </w:r>
    </w:p>
    <w:p>
      <w:pPr>
        <w:pStyle w:val="Compact"/>
        <w:numPr>
          <w:ilvl w:val="0"/>
          <w:numId w:val="1003"/>
        </w:numPr>
      </w:pPr>
      <w:r>
        <w:t xml:space="preserve">RL has consistently demonstrated pricing and brand-strength advantages relative to more promotional apparel peers.</w:t>
      </w:r>
    </w:p>
    <w:p>
      <w:pPr>
        <w:pStyle w:val="FirstParagraph"/>
      </w:pPr>
      <w:r>
        <w:t xml:space="preserve">But expectations leave little room for a miss. Investors should focus on management’s split between: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Underlying merchandise margin</w:t>
      </w:r>
      <w:r>
        <w:t xml:space="preserve"> </w:t>
      </w:r>
      <w:r>
        <w:t xml:space="preserve">— pricing, promotion, mix, cotton/non-cotton inputs;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Tariffs and freight</w:t>
      </w:r>
      <w:r>
        <w:t xml:space="preserve"> </w:t>
      </w:r>
      <w:r>
        <w:t xml:space="preserve">— especially the cadence into the second half; and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FX</w:t>
      </w:r>
      <w:r>
        <w:t xml:space="preserve"> </w:t>
      </w:r>
      <w:r>
        <w:t xml:space="preserve">— management previously expected neutral revenue and margin effects for Q1.</w:t>
      </w:r>
    </w:p>
    <w:p>
      <w:pPr>
        <w:pStyle w:val="FirstParagraph"/>
      </w:pPr>
      <w:r>
        <w:t xml:space="preserve">The most constructive outcome is gross-margin expansion at or above plan</w:t>
      </w:r>
      <w:r>
        <w:t xml:space="preserve"> </w:t>
      </w:r>
      <w:r>
        <w:rPr>
          <w:b/>
          <w:bCs/>
        </w:rPr>
        <w:t xml:space="preserve">without relying excessively on favorable mix or temporary tariff relief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1"/>
    <w:bookmarkStart w:id="12" w:name="X14df56ce2210e482cda0f0ae2e725de81a7b1a3"/>
    <w:p>
      <w:pPr>
        <w:pStyle w:val="Heading3"/>
      </w:pPr>
      <w:r>
        <w:t xml:space="preserve">3. Guidance: second-half tariff assumptions are the fulcrum</w:t>
      </w:r>
    </w:p>
    <w:p>
      <w:pPr>
        <w:pStyle w:val="FirstParagraph"/>
      </w:pPr>
      <w:r>
        <w:t xml:space="preserve">Management’s original FY27 outlook already assumed that tariff pressure would rise sequentially in the second half. That means the largest stock-moving issue may be whether this is still the correct assumption after recent changes in the trade backdrop.</w:t>
      </w:r>
    </w:p>
    <w:p>
      <w:pPr>
        <w:pStyle w:val="BodyText"/>
      </w:pPr>
      <w:r>
        <w:t xml:space="preserve">The prior guide explicitly did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include potential tariff refunds, while the full-year margin outlook assumed that tariffs would become more burdensome after the early-year relief window. This creates two possible positive paths: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 deterioration in tariffs:</w:t>
      </w:r>
      <w:r>
        <w:t xml:space="preserve"> </w:t>
      </w:r>
      <w:r>
        <w:t xml:space="preserve">The company reiterates its FY27 margin outlook, implying it can absorb the expected second-half pressure through pricing, sourcing, mix, and productivity.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More favorable tariff economics:</w:t>
      </w:r>
      <w:r>
        <w:t xml:space="preserve"> </w:t>
      </w:r>
      <w:r>
        <w:t xml:space="preserve">Management signals less second-half tariff pressure, potentially creating upside to gross margin and EPS.</w:t>
      </w:r>
    </w:p>
    <w:p>
      <w:pPr>
        <w:pStyle w:val="FirstParagraph"/>
      </w:pPr>
      <w:r>
        <w:t xml:space="preserve">Conversely, a more adverse tariff outlook, elevated freight, or sourcing disruption could matter disproportionately because consensus seems to be modeling a strong Q1 margin result.</w:t>
      </w:r>
    </w:p>
    <w:p>
      <w:r>
        <w:pict>
          <v:rect style="width:0;height:1.5pt" o:hralign="center" o:hrstd="t" o:hr="t"/>
        </w:pict>
      </w:r>
    </w:p>
    <w:bookmarkEnd w:id="12"/>
    <w:bookmarkStart w:id="13" w:name="X8112540afc2a6da70f15be3bf6af1ac96bace1f"/>
    <w:p>
      <w:pPr>
        <w:pStyle w:val="Heading3"/>
      </w:pPr>
      <w:r>
        <w:t xml:space="preserve">4. China and Asia: upside engine, but comparisons rise sharply</w:t>
      </w:r>
    </w:p>
    <w:p>
      <w:pPr>
        <w:pStyle w:val="FirstParagraph"/>
      </w:pPr>
      <w:r>
        <w:t xml:space="preserve">Asia has been RL’s most powerful geographic growth driver. In fiscal 2026, Asia revenue grew</w:t>
      </w:r>
      <w:r>
        <w:t xml:space="preserve"> </w:t>
      </w:r>
      <w:r>
        <w:rPr>
          <w:b/>
          <w:bCs/>
        </w:rPr>
        <w:t xml:space="preserve">22% constant currency</w:t>
      </w:r>
      <w:r>
        <w:t xml:space="preserve">, while China grew approximately</w:t>
      </w:r>
      <w:r>
        <w:t xml:space="preserve"> </w:t>
      </w:r>
      <w:r>
        <w:rPr>
          <w:b/>
          <w:bCs/>
        </w:rPr>
        <w:t xml:space="preserve">40%</w:t>
      </w:r>
      <w:r>
        <w:t xml:space="preserve"> </w:t>
      </w:r>
      <w:r>
        <w:t xml:space="preserve">for the year. Q4 China growth exceeded 50%, aided by an exceptionally strong Lunar New Year.</w:t>
      </w:r>
    </w:p>
    <w:p>
      <w:pPr>
        <w:pStyle w:val="BodyText"/>
      </w:pPr>
      <w:r>
        <w:t xml:space="preserve">For FY27, management guided to: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Asia:</w:t>
      </w:r>
      <w:r>
        <w:t xml:space="preserve"> </w:t>
      </w:r>
      <w:r>
        <w:t xml:space="preserve">high-single-digit constant-currency growth;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China:</w:t>
      </w:r>
      <w:r>
        <w:t xml:space="preserve"> </w:t>
      </w:r>
      <w:r>
        <w:t xml:space="preserve">mid-teens growth.</w:t>
      </w:r>
    </w:p>
    <w:p>
      <w:pPr>
        <w:pStyle w:val="FirstParagraph"/>
      </w:pPr>
      <w:r>
        <w:t xml:space="preserve">Those are still attractive targets, but they represent a deliberate normalization after exceptional prior-year growth. Investors should watch for commentary on:</w:t>
      </w:r>
    </w:p>
    <w:p>
      <w:pPr>
        <w:pStyle w:val="Compact"/>
        <w:numPr>
          <w:ilvl w:val="0"/>
          <w:numId w:val="1007"/>
        </w:numPr>
      </w:pPr>
      <w:r>
        <w:t xml:space="preserve">China comp trends after the Lunar New Year comparison;</w:t>
      </w:r>
    </w:p>
    <w:p>
      <w:pPr>
        <w:pStyle w:val="Compact"/>
        <w:numPr>
          <w:ilvl w:val="0"/>
          <w:numId w:val="1007"/>
        </w:numPr>
      </w:pPr>
      <w:r>
        <w:t xml:space="preserve">Douyin and owned-digital momentum;</w:t>
      </w:r>
    </w:p>
    <w:p>
      <w:pPr>
        <w:pStyle w:val="Compact"/>
        <w:numPr>
          <w:ilvl w:val="0"/>
          <w:numId w:val="1007"/>
        </w:numPr>
      </w:pPr>
      <w:r>
        <w:t xml:space="preserve">New-customer acquisition and retention;</w:t>
      </w:r>
    </w:p>
    <w:p>
      <w:pPr>
        <w:pStyle w:val="Compact"/>
        <w:numPr>
          <w:ilvl w:val="0"/>
          <w:numId w:val="1007"/>
        </w:numPr>
      </w:pPr>
      <w:r>
        <w:t xml:space="preserve">Store expansion pace in the six key Chinese city clusters;</w:t>
      </w:r>
    </w:p>
    <w:p>
      <w:pPr>
        <w:pStyle w:val="Compact"/>
        <w:numPr>
          <w:ilvl w:val="0"/>
          <w:numId w:val="1007"/>
        </w:numPr>
      </w:pPr>
      <w:r>
        <w:t xml:space="preserve">Whether luxury demand remains broad-based across age cohorts and product categories.</w:t>
      </w:r>
    </w:p>
    <w:p>
      <w:pPr>
        <w:pStyle w:val="FirstParagraph"/>
      </w:pPr>
      <w:r>
        <w:t xml:space="preserve">A material beat in China could support upside to sales, but it may also raise the question of whether management’s cautious global guide is overly conservative.</w:t>
      </w:r>
    </w:p>
    <w:p>
      <w:r>
        <w:pict>
          <v:rect style="width:0;height:1.5pt" o:hralign="center" o:hrstd="t" o:hr="t"/>
        </w:pict>
      </w:r>
    </w:p>
    <w:bookmarkEnd w:id="13"/>
    <w:bookmarkStart w:id="14" w:name="X13190711525526b05601633574ae0b1e0636b6f"/>
    <w:p>
      <w:pPr>
        <w:pStyle w:val="Heading3"/>
      </w:pPr>
      <w:r>
        <w:t xml:space="preserve">5. North America and Europe: proof that the model is diversified</w:t>
      </w:r>
    </w:p>
    <w:p>
      <w:pPr>
        <w:pStyle w:val="FirstParagraph"/>
      </w:pPr>
      <w:r>
        <w:t xml:space="preserve">North America is now back on a growth trajectory, driven by full-price retail and digital, while wholesale is being managed selectively. In Q4, North America revenue rose 8%, with retail comps up 16% and digital comps up 21%; wholesale was flat as stronger replenishment offset strategic exits.</w:t>
      </w:r>
    </w:p>
    <w:p>
      <w:pPr>
        <w:pStyle w:val="BodyText"/>
      </w:pPr>
      <w:r>
        <w:t xml:space="preserve">For FY27, RL expects North America revenue to grow low single digits. The key issue is whether DTC strength can continue to more than offset:</w:t>
      </w:r>
    </w:p>
    <w:p>
      <w:pPr>
        <w:pStyle w:val="Compact"/>
        <w:numPr>
          <w:ilvl w:val="0"/>
          <w:numId w:val="1008"/>
        </w:numPr>
      </w:pPr>
      <w:r>
        <w:t xml:space="preserve">Lower-tier wholesale-door exits;</w:t>
      </w:r>
    </w:p>
    <w:p>
      <w:pPr>
        <w:pStyle w:val="Compact"/>
        <w:numPr>
          <w:ilvl w:val="0"/>
          <w:numId w:val="1008"/>
        </w:numPr>
      </w:pPr>
      <w:r>
        <w:t xml:space="preserve">Off-price reductions;</w:t>
      </w:r>
    </w:p>
    <w:p>
      <w:pPr>
        <w:pStyle w:val="Compact"/>
        <w:numPr>
          <w:ilvl w:val="0"/>
          <w:numId w:val="1008"/>
        </w:numPr>
      </w:pPr>
      <w:r>
        <w:t xml:space="preserve">A potentially more uneven discretionary-demand backdrop.</w:t>
      </w:r>
    </w:p>
    <w:p>
      <w:pPr>
        <w:pStyle w:val="FirstParagraph"/>
      </w:pPr>
      <w:r>
        <w:t xml:space="preserve">Europe is the bigger macro risk. Management guided to low- to mid-single-digit FY27 growth, citing energy costs, softer inbound tourism, Middle East-related disruption, and difficult comparisons. Q1 was expected to be the strongest European growth quarter of the year due partly to wholesale shipment timing.</w:t>
      </w:r>
    </w:p>
    <w:p>
      <w:pPr>
        <w:pStyle w:val="BodyText"/>
      </w:pPr>
      <w:r>
        <w:rPr>
          <w:b/>
          <w:bCs/>
        </w:rPr>
        <w:t xml:space="preserve">Investor takeaway:</w:t>
      </w:r>
      <w:r>
        <w:t xml:space="preserve"> </w:t>
      </w:r>
      <w:r>
        <w:t xml:space="preserve">Better-than-feared Europe trends would be meaningful because the guide already assumes caution. A weak Europe result could be explainable, but investors will want confidence that it is macro/tourism-related—not evidence of a loss of brand traction.</w:t>
      </w:r>
    </w:p>
    <w:bookmarkEnd w:id="14"/>
    <w:bookmarkEnd w:id="15"/>
    <w:bookmarkStart w:id="16" w:name="earnings-setup-and-valuation-sensitivity"/>
    <w:p>
      <w:pPr>
        <w:pStyle w:val="Heading2"/>
      </w:pPr>
      <w:r>
        <w:t xml:space="preserve">Earnings setup and valuation sensitivity</w:t>
      </w:r>
    </w:p>
    <w:p>
      <w:pPr>
        <w:pStyle w:val="FirstParagraph"/>
      </w:pPr>
      <w:r>
        <w:t xml:space="preserve">RL closed at</w:t>
      </w:r>
      <w:r>
        <w:t xml:space="preserve"> </w:t>
      </w:r>
      <m:oMath>
        <m:r>
          <m:t>380.82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u</m:t>
        </m:r>
        <m:r>
          <m:t>s</m:t>
        </m:r>
        <m:r>
          <m:t>t</m:t>
        </m:r>
        <m:r>
          <m:t>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329.24 on May 20</w:t>
      </w:r>
      <w:r>
        <w:t xml:space="preserve">, the day before its last earnings report—a gain of approximately</w:t>
      </w:r>
      <w:r>
        <w:t xml:space="preserve"> </w:t>
      </w:r>
      <w:r>
        <w:rPr>
          <w:b/>
          <w:bCs/>
        </w:rPr>
        <w:t xml:space="preserve">15.7%</w:t>
      </w:r>
      <w:r>
        <w:t xml:space="preserve">. It closed at $374.90 on May 21 after the prior earnings release, meaning the stock has gained only about 1.6% since that post-report close despite reaching $414.25 in late June.</w:t>
      </w:r>
    </w:p>
    <w:p>
      <w:pPr>
        <w:pStyle w:val="BodyText"/>
      </w:pPr>
      <w:r>
        <w:t xml:space="preserve">That setup suggests two things:</w:t>
      </w:r>
    </w:p>
    <w:p>
      <w:pPr>
        <w:pStyle w:val="Compact"/>
        <w:numPr>
          <w:ilvl w:val="0"/>
          <w:numId w:val="1009"/>
        </w:numPr>
      </w:pPr>
      <w:r>
        <w:t xml:space="preserve">The market recognizes RL’s execution and brand elevation, so a simple beat with unchanged guidance may not generate a major re-rating.</w:t>
      </w:r>
    </w:p>
    <w:p>
      <w:pPr>
        <w:pStyle w:val="Compact"/>
        <w:numPr>
          <w:ilvl w:val="0"/>
          <w:numId w:val="1009"/>
        </w:numPr>
      </w:pPr>
      <w:r>
        <w:t xml:space="preserve">The stock is not trading at its recent high, leaving room for a favorable reaction if the company demonstrates that revenue, margin, and tariff risks are tracking better than feared.</w:t>
      </w:r>
    </w:p>
    <w:bookmarkEnd w:id="16"/>
    <w:bookmarkStart w:id="17" w:name="what-would-constitute-a-bullish-report"/>
    <w:p>
      <w:pPr>
        <w:pStyle w:val="Heading2"/>
      </w:pPr>
      <w:r>
        <w:t xml:space="preserve">What would constitute a bullish report?</w:t>
      </w:r>
    </w:p>
    <w:p>
      <w:pPr>
        <w:pStyle w:val="FirstParagraph"/>
      </w:pPr>
      <w:r>
        <w:t xml:space="preserve">A clearly bullish result would include most of the following:</w:t>
      </w:r>
    </w:p>
    <w:p>
      <w:pPr>
        <w:pStyle w:val="Compact"/>
        <w:numPr>
          <w:ilvl w:val="0"/>
          <w:numId w:val="1010"/>
        </w:numPr>
      </w:pPr>
      <w:r>
        <w:t xml:space="preserve">Revenue growth at the high end of, or above, the mid/high-single-digit constant-currency Q1 guide;</w:t>
      </w:r>
    </w:p>
    <w:p>
      <w:pPr>
        <w:pStyle w:val="Compact"/>
        <w:numPr>
          <w:ilvl w:val="0"/>
          <w:numId w:val="1010"/>
        </w:numPr>
      </w:pPr>
      <w:r>
        <w:t xml:space="preserve">DTC comps and AUR that confirm continued full-price demand;</w:t>
      </w:r>
    </w:p>
    <w:p>
      <w:pPr>
        <w:pStyle w:val="Compact"/>
        <w:numPr>
          <w:ilvl w:val="0"/>
          <w:numId w:val="1010"/>
        </w:numPr>
      </w:pPr>
      <w:r>
        <w:t xml:space="preserve">Gross margin near or above the Street’s ~73.25% expectation;</w:t>
      </w:r>
    </w:p>
    <w:p>
      <w:pPr>
        <w:pStyle w:val="Compact"/>
        <w:numPr>
          <w:ilvl w:val="0"/>
          <w:numId w:val="1010"/>
        </w:numPr>
      </w:pPr>
      <w:r>
        <w:t xml:space="preserve">Operating-margin expansion above the guided 80–120 bps;</w:t>
      </w:r>
    </w:p>
    <w:p>
      <w:pPr>
        <w:pStyle w:val="Compact"/>
        <w:numPr>
          <w:ilvl w:val="0"/>
          <w:numId w:val="1010"/>
        </w:numPr>
      </w:pPr>
      <w:r>
        <w:t xml:space="preserve">Strength in Asia/China without a meaningful deterioration in North America or Europe;</w:t>
      </w:r>
    </w:p>
    <w:p>
      <w:pPr>
        <w:pStyle w:val="Compact"/>
        <w:numPr>
          <w:ilvl w:val="0"/>
          <w:numId w:val="1010"/>
        </w:numPr>
      </w:pPr>
      <w:r>
        <w:t xml:space="preserve">Reiteration of FY27 revenue and operating-margin guidance despite tariff uncertainty;</w:t>
      </w:r>
    </w:p>
    <w:p>
      <w:pPr>
        <w:pStyle w:val="Compact"/>
        <w:numPr>
          <w:ilvl w:val="0"/>
          <w:numId w:val="1010"/>
        </w:numPr>
      </w:pPr>
      <w:r>
        <w:t xml:space="preserve">Constructive commentary on the second-half tariff cadence, freight, sourcing flexibility, and inventory;</w:t>
      </w:r>
    </w:p>
    <w:p>
      <w:pPr>
        <w:pStyle w:val="Compact"/>
        <w:numPr>
          <w:ilvl w:val="0"/>
          <w:numId w:val="1010"/>
        </w:numPr>
      </w:pPr>
      <w:r>
        <w:t xml:space="preserve">Continued capital returns, supported by the company’s $2.1 billion in cash and short-term investments at fiscal year-end and $1.4 billion remaining under the repurchase authorization.</w:t>
      </w:r>
    </w:p>
    <w:bookmarkEnd w:id="17"/>
    <w:bookmarkStart w:id="18" w:name="what-would-disappoint"/>
    <w:p>
      <w:pPr>
        <w:pStyle w:val="Heading2"/>
      </w:pPr>
      <w:r>
        <w:t xml:space="preserve">What would disappoint?</w:t>
      </w:r>
    </w:p>
    <w:p>
      <w:pPr>
        <w:pStyle w:val="FirstParagraph"/>
      </w:pPr>
      <w:r>
        <w:t xml:space="preserve">The primary negative scenarios are:</w:t>
      </w:r>
    </w:p>
    <w:p>
      <w:pPr>
        <w:pStyle w:val="Compact"/>
        <w:numPr>
          <w:ilvl w:val="0"/>
          <w:numId w:val="1011"/>
        </w:numPr>
      </w:pPr>
      <w:r>
        <w:t xml:space="preserve">Sales growth only reaches the low end of the guide, particularly if DTC or China slows materially;</w:t>
      </w:r>
    </w:p>
    <w:p>
      <w:pPr>
        <w:pStyle w:val="Compact"/>
        <w:numPr>
          <w:ilvl w:val="0"/>
          <w:numId w:val="1011"/>
        </w:numPr>
      </w:pPr>
      <w:r>
        <w:t xml:space="preserve">Gross margin misses because tariffs, freight, or promotions outweigh AUR and mix;</w:t>
      </w:r>
    </w:p>
    <w:p>
      <w:pPr>
        <w:pStyle w:val="Compact"/>
        <w:numPr>
          <w:ilvl w:val="0"/>
          <w:numId w:val="1011"/>
        </w:numPr>
      </w:pPr>
      <w:r>
        <w:t xml:space="preserve">AUR remains strong but units weaken materially;</w:t>
      </w:r>
    </w:p>
    <w:p>
      <w:pPr>
        <w:pStyle w:val="Compact"/>
        <w:numPr>
          <w:ilvl w:val="0"/>
          <w:numId w:val="1011"/>
        </w:numPr>
      </w:pPr>
      <w:r>
        <w:t xml:space="preserve">Europe deteriorates more than the company’s prudent outlook contemplated;</w:t>
      </w:r>
    </w:p>
    <w:p>
      <w:pPr>
        <w:pStyle w:val="Compact"/>
        <w:numPr>
          <w:ilvl w:val="0"/>
          <w:numId w:val="1011"/>
        </w:numPr>
      </w:pPr>
      <w:r>
        <w:t xml:space="preserve">Management reduces its FY27 margin outlook or signals tariff-related second-half deleverage;</w:t>
      </w:r>
    </w:p>
    <w:p>
      <w:pPr>
        <w:pStyle w:val="Compact"/>
        <w:numPr>
          <w:ilvl w:val="0"/>
          <w:numId w:val="1011"/>
        </w:numPr>
      </w:pPr>
      <w:r>
        <w:t xml:space="preserve">Inventory rises faster than sales or becomes less current/less clean;</w:t>
      </w:r>
    </w:p>
    <w:p>
      <w:pPr>
        <w:pStyle w:val="Compact"/>
        <w:numPr>
          <w:ilvl w:val="0"/>
          <w:numId w:val="1011"/>
        </w:numPr>
      </w:pPr>
      <w:r>
        <w:t xml:space="preserve">Wholesale trends weaken beyond the company’s planned distribution rationalization.</w:t>
      </w:r>
    </w:p>
    <w:bookmarkEnd w:id="18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RL is a high-quality apparel/luxury execution story heading into the print: brand elevation, pricing power, international expansion, category development, DTC momentum, and disciplined distribution have all been working. The near-term challenge is that the Q1 guide and consensus already anticipate a favorable margin outcome.</w:t>
      </w:r>
    </w:p>
    <w:p>
      <w:pPr>
        <w:pStyle w:val="BodyText"/>
      </w:pPr>
      <w:r>
        <w:t xml:space="preserve">Accordingly, the report’s decisive variables are likely to be</w:t>
      </w:r>
      <w:r>
        <w:t xml:space="preserve"> </w:t>
      </w:r>
      <w:r>
        <w:rPr>
          <w:b/>
          <w:bCs/>
        </w:rPr>
        <w:t xml:space="preserve">gross-margin delivery, the sustainability of AUR-plus-units growth, China’s trajectory after a very strong base, and—above all—whether management can retain confidence in its full-year margin outlook amid an uncertain second-half tariff environment</w:t>
      </w:r>
      <w:r>
        <w:t xml:space="preserve">.</w:t>
      </w:r>
    </w:p>
    <w:bookmarkStart w:id="19" w:name="source-materials-reviewed"/>
    <w:p>
      <w:pPr>
        <w:pStyle w:val="Heading3"/>
      </w:pPr>
      <w:r>
        <w:t xml:space="preserve">Source materials reviewed</w:t>
      </w:r>
    </w:p>
    <w:p>
      <w:pPr>
        <w:pStyle w:val="Compact"/>
        <w:numPr>
          <w:ilvl w:val="0"/>
          <w:numId w:val="1012"/>
        </w:numPr>
      </w:pPr>
      <w:r>
        <w:t xml:space="preserve">Ralph Lauren fiscal Q4 2026 earnings release and earnings-call transcript — May 21, 2026</w:t>
      </w:r>
    </w:p>
    <w:p>
      <w:pPr>
        <w:pStyle w:val="Compact"/>
        <w:numPr>
          <w:ilvl w:val="0"/>
          <w:numId w:val="1012"/>
        </w:numPr>
      </w:pPr>
      <w:r>
        <w:t xml:space="preserve">Ralph Lauren fiscal Q1 2026 earnings release — August 7, 2025</w:t>
      </w:r>
    </w:p>
    <w:p>
      <w:pPr>
        <w:pStyle w:val="Compact"/>
        <w:numPr>
          <w:ilvl w:val="0"/>
          <w:numId w:val="1012"/>
        </w:numPr>
      </w:pPr>
      <w:r>
        <w:t xml:space="preserve">RL market-news digest and consensus snapshot — July 31, 2026</w:t>
      </w:r>
    </w:p>
    <w:p>
      <w:pPr>
        <w:pStyle w:val="Compact"/>
        <w:numPr>
          <w:ilvl w:val="0"/>
          <w:numId w:val="1012"/>
        </w:numPr>
      </w:pPr>
      <w:r>
        <w:t xml:space="preserve">RL historical closing-price data through August 5, 2026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2026-08-06T00:26:20Z</dcterms:created>
  <dcterms:modified xsi:type="dcterms:W3CDTF">2026-08-06T00:26:20Z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