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Ralph Lauren Corporation (RL)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Ralph Lauren Corporation</w:t>
            </w:r>
          </w:p>
        </w:tc>
      </w:tr>
      <w:tr>
        <w:tc>
          <w:tcPr>
            <w:tcW w:type="dxa" w:w="4320"/>
          </w:tcPr>
          <w:p>
            <w:r>
              <w:rPr>
                <w:rFonts w:ascii="Calibri" w:hAnsi="Calibri"/>
                <w:b/>
                <w:sz w:val="22"/>
              </w:rPr>
              <w:t>Ticker</w:t>
            </w:r>
          </w:p>
        </w:tc>
        <w:tc>
          <w:tcPr>
            <w:tcW w:type="dxa" w:w="4320"/>
          </w:tcPr>
          <w:p>
            <w:r>
              <w:rPr>
                <w:rFonts w:ascii="Calibri" w:hAnsi="Calibri"/>
                <w:sz w:val="22"/>
              </w:rPr>
              <w:t>RL</w:t>
            </w:r>
          </w:p>
        </w:tc>
      </w:tr>
      <w:tr>
        <w:tc>
          <w:tcPr>
            <w:tcW w:type="dxa" w:w="4320"/>
          </w:tcPr>
          <w:p>
            <w:r>
              <w:rPr>
                <w:rFonts w:ascii="Calibri" w:hAnsi="Calibri"/>
                <w:b/>
                <w:sz w:val="22"/>
              </w:rPr>
              <w:t>Upcoming Earnings</w:t>
            </w:r>
          </w:p>
        </w:tc>
        <w:tc>
          <w:tcPr>
            <w:tcW w:type="dxa" w:w="4320"/>
          </w:tcPr>
          <w:p>
            <w:r>
              <w:rPr>
                <w:rFonts w:ascii="Calibri" w:hAnsi="Calibri"/>
                <w:sz w:val="22"/>
              </w:rPr>
              <w:t>Q1 FY2027 (Fiscal Quarter Ending June 30, 2026) — Date TBD</w:t>
            </w:r>
          </w:p>
        </w:tc>
      </w:tr>
      <w:tr>
        <w:tc>
          <w:tcPr>
            <w:tcW w:type="dxa" w:w="4320"/>
          </w:tcPr>
          <w:p>
            <w:r>
              <w:rPr>
                <w:rFonts w:ascii="Calibri" w:hAnsi="Calibri"/>
                <w:b/>
                <w:sz w:val="22"/>
              </w:rPr>
              <w:t>Last Earnings</w:t>
            </w:r>
          </w:p>
        </w:tc>
        <w:tc>
          <w:tcPr>
            <w:tcW w:type="dxa" w:w="4320"/>
          </w:tcPr>
          <w:p>
            <w:r>
              <w:rPr>
                <w:rFonts w:ascii="Calibri" w:hAnsi="Calibri"/>
                <w:sz w:val="22"/>
              </w:rPr>
              <w:t>Q4 FY2026, reported May 21,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ETF Used</w:t>
            </w:r>
          </w:p>
        </w:tc>
        <w:tc>
          <w:tcPr>
            <w:tcW w:type="dxa" w:w="4320"/>
          </w:tcPr>
          <w:p>
            <w:r>
              <w:rPr>
                <w:rFonts w:ascii="Calibri" w:hAnsi="Calibri"/>
                <w:sz w:val="22"/>
              </w:rPr>
              <w:t>XRT (SPDR S&amp;P Retail ETF) — apparel/retail sub-sector proxy</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but the bar is not low — </w:t>
      </w:r>
      <w:r>
        <w:rPr>
          <w:rFonts w:ascii="Calibri" w:hAnsi="Calibri"/>
          <w:b/>
          <w:color w:val="525866"/>
          <w:sz w:val="22"/>
        </w:rPr>
        <w:t>gross margin delivery and AUR trajectory</w:t>
      </w:r>
      <w:r>
        <w:rPr>
          <w:rFonts w:ascii="Calibri" w:hAnsi="Calibri"/>
          <w:color w:val="525866"/>
          <w:sz w:val="22"/>
        </w:rPr>
        <w:t xml:space="preserve"> are the swing factors, with consensus already pricing in a solid beat after Q4’s blowout.</w:t>
      </w:r>
    </w:p>
    <w:p>
      <w:r>
        <w:rPr>
          <w:rFonts w:ascii="Calibri" w:hAnsi="Calibri"/>
          <w:color w:val="525866"/>
          <w:sz w:val="22"/>
        </w:rPr>
        <w:t xml:space="preserve">Heading into Q1 FY2027, consensus expects revenue of ~$1.87B (+8.7% YoY) and operating EPS of ~$4.32, both representing meaningful step-ups from the prior-year period’s $1.72B and $3.77 — a bar that reflects the market’s confidence in RL’s brand elevation momentum following a strong Q4 FY2026 beat. </w:t>
      </w:r>
      <w:r>
        <w:rPr>
          <w:rFonts w:ascii="Calibri" w:hAnsi="Calibri"/>
          <w:b/>
          <w:color w:val="525866"/>
          <w:sz w:val="22"/>
        </w:rPr>
        <w:t>Management guided Q1 constant-currency revenue growth of mid-to-high single digits and operating margin expansion of 80–120 bps</w:t>
      </w:r>
      <w:r>
        <w:rPr>
          <w:rFonts w:ascii="Calibri" w:hAnsi="Calibri"/>
          <w:color w:val="525866"/>
          <w:sz w:val="22"/>
        </w:rPr>
        <w:t xml:space="preserve">, with gross margin expected to benefit from AUR growth and favorable mix more than offsetting modest tariff headwinds at the current 10% rate — a materially better tariff backdrop than the peak levels absorbed in Q4. Estimate revisions since the May 21 print have been modestly positive (Q1 EPS consensus moved from $4.24 to $4.32), suggesting the street is gradually building in the tariff tailwind but has not aggressively front-run guidance. The stock surged ~14% on earnings day and has since consolidated in the $370–$415 range, trading at a premium multiple that prices in continued execution; the stock is up ~16% since the print vs. XRT flat and SPY +4%, meaning RL has already captured significant alpha and leaves limited room for multiple expansion. The key wildcard is </w:t>
      </w:r>
      <w:r>
        <w:rPr>
          <w:rFonts w:ascii="Calibri" w:hAnsi="Calibri"/>
          <w:b/>
          <w:color w:val="525866"/>
          <w:sz w:val="22"/>
        </w:rPr>
        <w:t>Europe</w:t>
      </w:r>
      <w:r>
        <w:rPr>
          <w:rFonts w:ascii="Calibri" w:hAnsi="Calibri"/>
          <w:color w:val="525866"/>
          <w:sz w:val="22"/>
        </w:rPr>
        <w:t>: management flagged elevated energy costs, Middle East disruption to partner sales, and softer inbound tourism as near-term headwinds — peer commentary from Canada Goose, PVH, and Zegna confirms EMEA store traffic is broadly under pressure, and any miss on European revenue or a cautious tone on the region could be the single biggest negative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on revenue and EPS given the post-Q4 re-rating, but </w:t>
      </w:r>
      <w:r>
        <w:rPr>
          <w:rFonts w:ascii="Calibri" w:hAnsi="Calibri"/>
          <w:b/>
          <w:color w:val="525866"/>
          <w:sz w:val="22"/>
        </w:rPr>
        <w:t>gross margin is the bigger swing factor</w:t>
      </w:r>
      <w:r>
        <w:rPr>
          <w:rFonts w:ascii="Calibri" w:hAnsi="Calibri"/>
          <w:color w:val="525866"/>
          <w:sz w:val="22"/>
        </w:rPr>
        <w:t xml:space="preserve"> — Q1 is the first quarter where tariff tailwinds (10% rate vs. peak Q4 levels) should visibly flow through, and any upside there could drive a beat similar to Q4.</w:t>
      </w:r>
    </w:p>
    <w:p>
      <w:pPr>
        <w:pStyle w:val="Heading3"/>
      </w:pPr>
      <w:r>
        <w:rPr>
          <w:rFonts w:ascii="Calibri" w:hAnsi="Calibri"/>
          <w:b/>
          <w:color w:val="3B4259"/>
          <w:sz w:val="24"/>
        </w:rPr>
        <w:t>Table 1 — Q1 FY2027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(Q4 FY26)</w:t>
            </w:r>
          </w:p>
        </w:tc>
        <w:tc>
          <w:tcPr>
            <w:tcW w:type="dxa" w:w="1234"/>
            <w:shd w:val="clear" w:color="auto" w:fill="3B4259"/>
          </w:tcPr>
          <w:p>
            <w:r>
              <w:rPr>
                <w:rFonts w:ascii="Calibri" w:hAnsi="Calibri"/>
                <w:b/>
                <w:color w:val="FFFFFF"/>
                <w:sz w:val="22"/>
              </w:rPr>
              <w:t>Prior Year Period (Q1 FY26 Actual)</w:t>
            </w:r>
          </w:p>
        </w:tc>
        <w:tc>
          <w:tcPr>
            <w:tcW w:type="dxa" w:w="1234"/>
            <w:shd w:val="clear" w:color="auto" w:fill="3B4259"/>
          </w:tcPr>
          <w:p>
            <w:r>
              <w:rPr>
                <w:rFonts w:ascii="Calibri" w:hAnsi="Calibri"/>
                <w:b/>
                <w:color w:val="FFFFFF"/>
                <w:sz w:val="22"/>
              </w:rPr>
              <w:t>Q1 FY27 Consensus Estimate</w:t>
            </w:r>
          </w:p>
        </w:tc>
        <w:tc>
          <w:tcPr>
            <w:tcW w:type="dxa" w:w="1234"/>
            <w:shd w:val="clear" w:color="auto" w:fill="3B4259"/>
          </w:tcPr>
          <w:p>
            <w:r>
              <w:rPr>
                <w:rFonts w:ascii="Calibri" w:hAnsi="Calibri"/>
                <w:b/>
                <w:color w:val="FFFFFF"/>
                <w:sz w:val="22"/>
              </w:rPr>
              <w:t>YoY Change (vs. Q1 FY26)</w:t>
            </w:r>
          </w:p>
        </w:tc>
        <w:tc>
          <w:tcPr>
            <w:tcW w:type="dxa" w:w="1234"/>
            <w:shd w:val="clear" w:color="auto" w:fill="3B4259"/>
          </w:tcPr>
          <w:p>
            <w:r>
              <w:rPr>
                <w:rFonts w:ascii="Calibri" w:hAnsi="Calibri"/>
                <w:b/>
                <w:color w:val="FFFFFF"/>
                <w:sz w:val="22"/>
              </w:rPr>
              <w:t>Guidance (Q1 FY27)</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($M)</w:t>
            </w:r>
          </w:p>
        </w:tc>
        <w:tc>
          <w:tcPr>
            <w:tcW w:type="dxa" w:w="1234"/>
          </w:tcPr>
          <w:p>
            <w:r>
              <w:rPr>
                <w:rFonts w:ascii="Calibri" w:hAnsi="Calibri"/>
                <w:sz w:val="22"/>
              </w:rPr>
              <w:t>$1,978.7M</w:t>
            </w:r>
          </w:p>
        </w:tc>
        <w:tc>
          <w:tcPr>
            <w:tcW w:type="dxa" w:w="1234"/>
          </w:tcPr>
          <w:p>
            <w:r>
              <w:rPr>
                <w:rFonts w:ascii="Calibri" w:hAnsi="Calibri"/>
                <w:sz w:val="22"/>
              </w:rPr>
              <w:t>$1,719.1M</w:t>
            </w:r>
          </w:p>
        </w:tc>
        <w:tc>
          <w:tcPr>
            <w:tcW w:type="dxa" w:w="1234"/>
          </w:tcPr>
          <w:p>
            <w:r>
              <w:rPr>
                <w:rFonts w:ascii="Calibri" w:hAnsi="Calibri"/>
                <w:sz w:val="22"/>
              </w:rPr>
              <w:t>$1,868.7M</w:t>
            </w:r>
          </w:p>
        </w:tc>
        <w:tc>
          <w:tcPr>
            <w:tcW w:type="dxa" w:w="1234"/>
          </w:tcPr>
          <w:p>
            <w:r>
              <w:rPr>
                <w:rFonts w:ascii="Calibri" w:hAnsi="Calibri"/>
                <w:sz w:val="22"/>
              </w:rPr>
              <w:t>+8.7%</w:t>
            </w:r>
          </w:p>
        </w:tc>
        <w:tc>
          <w:tcPr>
            <w:tcW w:type="dxa" w:w="1234"/>
          </w:tcPr>
          <w:p>
            <w:r>
              <w:rPr>
                <w:rFonts w:ascii="Calibri" w:hAnsi="Calibri"/>
                <w:sz w:val="22"/>
              </w:rPr>
              <w:t>Mid-to-high single digit CC growth (~4–7% reported)</w:t>
            </w:r>
          </w:p>
        </w:tc>
        <w:tc>
          <w:tcPr>
            <w:tcW w:type="dxa" w:w="1234"/>
          </w:tcPr>
          <w:p>
            <w:r>
              <w:rPr>
                <w:rFonts w:ascii="Calibri" w:hAnsi="Calibri"/>
                <w:sz w:val="22"/>
              </w:rPr>
              <w:t>~In line / slight premium to midpoint</w:t>
            </w:r>
          </w:p>
        </w:tc>
      </w:tr>
      <w:tr>
        <w:tc>
          <w:tcPr>
            <w:tcW w:type="dxa" w:w="1234"/>
          </w:tcPr>
          <w:p>
            <w:r>
              <w:rPr>
                <w:rFonts w:ascii="Calibri" w:hAnsi="Calibri"/>
                <w:sz w:val="22"/>
              </w:rPr>
              <w:t>Gross Profit ($M)</w:t>
            </w:r>
          </w:p>
        </w:tc>
        <w:tc>
          <w:tcPr>
            <w:tcW w:type="dxa" w:w="1234"/>
          </w:tcPr>
          <w:p>
            <w:r>
              <w:rPr>
                <w:rFonts w:ascii="Calibri" w:hAnsi="Calibri"/>
                <w:sz w:val="22"/>
              </w:rPr>
              <w:t>$1,378.8M</w:t>
            </w:r>
          </w:p>
        </w:tc>
        <w:tc>
          <w:tcPr>
            <w:tcW w:type="dxa" w:w="1234"/>
          </w:tcPr>
          <w:p>
            <w:r>
              <w:rPr>
                <w:rFonts w:ascii="Calibri" w:hAnsi="Calibri"/>
                <w:sz w:val="22"/>
              </w:rPr>
              <w:t>$1,242.3M</w:t>
            </w:r>
          </w:p>
        </w:tc>
        <w:tc>
          <w:tcPr>
            <w:tcW w:type="dxa" w:w="1234"/>
          </w:tcPr>
          <w:p>
            <w:r>
              <w:rPr>
                <w:rFonts w:ascii="Calibri" w:hAnsi="Calibri"/>
                <w:sz w:val="22"/>
              </w:rPr>
              <w:t>$1,369.7M</w:t>
            </w:r>
          </w:p>
        </w:tc>
        <w:tc>
          <w:tcPr>
            <w:tcW w:type="dxa" w:w="1234"/>
          </w:tcPr>
          <w:p>
            <w:r>
              <w:rPr>
                <w:rFonts w:ascii="Calibri" w:hAnsi="Calibri"/>
                <w:sz w:val="22"/>
              </w:rPr>
              <w:t>+10.3%</w:t>
            </w:r>
          </w:p>
        </w:tc>
        <w:tc>
          <w:tcPr>
            <w:tcW w:type="dxa" w:w="1234"/>
          </w:tcPr>
          <w:p>
            <w:r>
              <w:rPr>
                <w:rFonts w:ascii="Calibri" w:hAnsi="Calibri"/>
                <w:sz w:val="22"/>
              </w:rPr>
              <w:t>Modest expansion; AUR + mix to offset tariff costs</w:t>
            </w:r>
          </w:p>
        </w:tc>
        <w:tc>
          <w:tcPr>
            <w:tcW w:type="dxa" w:w="1234"/>
          </w:tcPr>
          <w:p>
            <w:r>
              <w:rPr>
                <w:rFonts w:ascii="Calibri" w:hAnsi="Calibri"/>
                <w:sz w:val="22"/>
              </w:rPr>
              <w:t>In line with guidance</w:t>
            </w:r>
          </w:p>
        </w:tc>
      </w:tr>
      <w:tr>
        <w:tc>
          <w:tcPr>
            <w:tcW w:type="dxa" w:w="1234"/>
          </w:tcPr>
          <w:p>
            <w:r>
              <w:rPr>
                <w:rFonts w:ascii="Calibri" w:hAnsi="Calibri"/>
                <w:sz w:val="22"/>
              </w:rPr>
              <w:t>Operating Income - Adj. ($M)</w:t>
            </w:r>
          </w:p>
        </w:tc>
        <w:tc>
          <w:tcPr>
            <w:tcW w:type="dxa" w:w="1234"/>
          </w:tcPr>
          <w:p>
            <w:r>
              <w:rPr>
                <w:rFonts w:ascii="Calibri" w:hAnsi="Calibri"/>
                <w:sz w:val="22"/>
              </w:rPr>
              <w:t>$218.3M</w:t>
            </w:r>
          </w:p>
        </w:tc>
        <w:tc>
          <w:tcPr>
            <w:tcW w:type="dxa" w:w="1234"/>
          </w:tcPr>
          <w:p>
            <w:r>
              <w:rPr>
                <w:rFonts w:ascii="Calibri" w:hAnsi="Calibri"/>
                <w:sz w:val="22"/>
              </w:rPr>
              <w:t>$292.9M</w:t>
            </w:r>
          </w:p>
        </w:tc>
        <w:tc>
          <w:tcPr>
            <w:tcW w:type="dxa" w:w="1234"/>
          </w:tcPr>
          <w:p>
            <w:r>
              <w:rPr>
                <w:rFonts w:ascii="Calibri" w:hAnsi="Calibri"/>
                <w:sz w:val="22"/>
              </w:rPr>
              <w:t>$342.8M</w:t>
            </w:r>
          </w:p>
        </w:tc>
        <w:tc>
          <w:tcPr>
            <w:tcW w:type="dxa" w:w="1234"/>
          </w:tcPr>
          <w:p>
            <w:r>
              <w:rPr>
                <w:rFonts w:ascii="Calibri" w:hAnsi="Calibri"/>
                <w:sz w:val="22"/>
              </w:rPr>
              <w:t>+17.0%</w:t>
            </w:r>
          </w:p>
        </w:tc>
        <w:tc>
          <w:tcPr>
            <w:tcW w:type="dxa" w:w="1234"/>
          </w:tcPr>
          <w:p>
            <w:r>
              <w:rPr>
                <w:rFonts w:ascii="Calibri" w:hAnsi="Calibri"/>
                <w:sz w:val="22"/>
              </w:rPr>
              <w:t>Op. margin +80–120 bps CC</w:t>
            </w:r>
          </w:p>
        </w:tc>
        <w:tc>
          <w:tcPr>
            <w:tcW w:type="dxa" w:w="1234"/>
          </w:tcPr>
          <w:p>
            <w:r>
              <w:rPr>
                <w:rFonts w:ascii="Calibri" w:hAnsi="Calibri"/>
                <w:sz w:val="22"/>
              </w:rPr>
              <w:t>~In line / slight premium</w:t>
            </w:r>
          </w:p>
        </w:tc>
      </w:tr>
      <w:tr>
        <w:tc>
          <w:tcPr>
            <w:tcW w:type="dxa" w:w="1234"/>
          </w:tcPr>
          <w:p>
            <w:r>
              <w:rPr>
                <w:rFonts w:ascii="Calibri" w:hAnsi="Calibri"/>
                <w:sz w:val="22"/>
              </w:rPr>
              <w:t>Diluted EPS — Operating ($)</w:t>
            </w:r>
          </w:p>
        </w:tc>
        <w:tc>
          <w:tcPr>
            <w:tcW w:type="dxa" w:w="1234"/>
          </w:tcPr>
          <w:p>
            <w:r>
              <w:rPr>
                <w:rFonts w:ascii="Calibri" w:hAnsi="Calibri"/>
                <w:sz w:val="22"/>
              </w:rPr>
              <w:t>$2.80</w:t>
            </w:r>
          </w:p>
        </w:tc>
        <w:tc>
          <w:tcPr>
            <w:tcW w:type="dxa" w:w="1234"/>
          </w:tcPr>
          <w:p>
            <w:r>
              <w:rPr>
                <w:rFonts w:ascii="Calibri" w:hAnsi="Calibri"/>
                <w:sz w:val="22"/>
              </w:rPr>
              <w:t>$3.77</w:t>
            </w:r>
          </w:p>
        </w:tc>
        <w:tc>
          <w:tcPr>
            <w:tcW w:type="dxa" w:w="1234"/>
          </w:tcPr>
          <w:p>
            <w:r>
              <w:rPr>
                <w:rFonts w:ascii="Calibri" w:hAnsi="Calibri"/>
                <w:sz w:val="22"/>
              </w:rPr>
              <w:t>$4.32</w:t>
            </w:r>
          </w:p>
        </w:tc>
        <w:tc>
          <w:tcPr>
            <w:tcW w:type="dxa" w:w="1234"/>
          </w:tcPr>
          <w:p>
            <w:r>
              <w:rPr>
                <w:rFonts w:ascii="Calibri" w:hAnsi="Calibri"/>
                <w:sz w:val="22"/>
              </w:rPr>
              <w:t>+14.6%</w:t>
            </w:r>
          </w:p>
        </w:tc>
        <w:tc>
          <w:tcPr>
            <w:tcW w:type="dxa" w:w="1234"/>
          </w:tcPr>
          <w:p>
            <w:r>
              <w:rPr>
                <w:rFonts w:ascii="Calibri" w:hAnsi="Calibri"/>
                <w:sz w:val="22"/>
              </w:rPr>
              <w:t>No specific EPS guidance; implied by margin guide</w:t>
            </w:r>
          </w:p>
        </w:tc>
        <w:tc>
          <w:tcPr>
            <w:tcW w:type="dxa" w:w="1234"/>
          </w:tcPr>
          <w:p>
            <w:r>
              <w:rPr>
                <w:rFonts w:ascii="Calibri" w:hAnsi="Calibri"/>
                <w:sz w:val="22"/>
              </w:rPr>
              <w:t>N/A (no explicit EPS guide)</w:t>
            </w:r>
          </w:p>
        </w:tc>
      </w:tr>
      <w:tr>
        <w:tc>
          <w:tcPr>
            <w:tcW w:type="dxa" w:w="1234"/>
          </w:tcPr>
          <w:p>
            <w:r>
              <w:rPr>
                <w:rFonts w:ascii="Calibri" w:hAnsi="Calibri"/>
                <w:sz w:val="22"/>
              </w:rPr>
              <w:t>CC Revenue Growth (%)</w:t>
            </w:r>
          </w:p>
        </w:tc>
        <w:tc>
          <w:tcPr>
            <w:tcW w:type="dxa" w:w="1234"/>
          </w:tcPr>
          <w:p>
            <w:r>
              <w:rPr>
                <w:rFonts w:ascii="Calibri" w:hAnsi="Calibri"/>
                <w:sz w:val="22"/>
              </w:rPr>
              <w:t>+12.1%</w:t>
            </w:r>
          </w:p>
        </w:tc>
        <w:tc>
          <w:tcPr>
            <w:tcW w:type="dxa" w:w="1234"/>
          </w:tcPr>
          <w:p>
            <w:r>
              <w:rPr>
                <w:rFonts w:ascii="Calibri" w:hAnsi="Calibri"/>
                <w:sz w:val="22"/>
              </w:rPr>
              <w:t>+11.4%</w:t>
            </w:r>
          </w:p>
        </w:tc>
        <w:tc>
          <w:tcPr>
            <w:tcW w:type="dxa" w:w="1234"/>
          </w:tcPr>
          <w:p>
            <w:r>
              <w:rPr>
                <w:rFonts w:ascii="Calibri" w:hAnsi="Calibri"/>
                <w:sz w:val="22"/>
              </w:rPr>
              <w:t>+7.9%</w:t>
            </w:r>
          </w:p>
        </w:tc>
        <w:tc>
          <w:tcPr>
            <w:tcW w:type="dxa" w:w="1234"/>
          </w:tcPr>
          <w:p>
            <w:r>
              <w:rPr>
                <w:rFonts w:ascii="Calibri" w:hAnsi="Calibri"/>
                <w:sz w:val="22"/>
              </w:rPr>
              <w:t>N/A (consensus metric)</w:t>
            </w:r>
          </w:p>
        </w:tc>
        <w:tc>
          <w:tcPr>
            <w:tcW w:type="dxa" w:w="1234"/>
          </w:tcPr>
          <w:p>
            <w:r>
              <w:rPr>
                <w:rFonts w:ascii="Calibri" w:hAnsi="Calibri"/>
                <w:sz w:val="22"/>
              </w:rPr>
              <w:t>Mid-to-high single digits</w:t>
            </w:r>
          </w:p>
        </w:tc>
        <w:tc>
          <w:tcPr>
            <w:tcW w:type="dxa" w:w="1234"/>
          </w:tcPr>
          <w:p>
            <w:r>
              <w:rPr>
                <w:rFonts w:ascii="Calibri" w:hAnsi="Calibri"/>
                <w:sz w:val="22"/>
              </w:rPr>
              <w:t>~In line with midpoint</w:t>
            </w:r>
          </w:p>
        </w:tc>
      </w:tr>
      <w:tr>
        <w:tc>
          <w:tcPr>
            <w:tcW w:type="dxa" w:w="1234"/>
          </w:tcPr>
          <w:p>
            <w:r>
              <w:rPr>
                <w:rFonts w:ascii="Calibri" w:hAnsi="Calibri"/>
                <w:sz w:val="22"/>
              </w:rPr>
              <w:t>NA Retail Sales ($M)</w:t>
            </w:r>
          </w:p>
        </w:tc>
        <w:tc>
          <w:tcPr>
            <w:tcW w:type="dxa" w:w="1234"/>
          </w:tcPr>
          <w:p>
            <w:r>
              <w:rPr>
                <w:rFonts w:ascii="Calibri" w:hAnsi="Calibri"/>
                <w:sz w:val="22"/>
              </w:rPr>
              <w:t>$464.9M</w:t>
            </w:r>
          </w:p>
        </w:tc>
        <w:tc>
          <w:tcPr>
            <w:tcW w:type="dxa" w:w="1234"/>
          </w:tcPr>
          <w:p>
            <w:r>
              <w:rPr>
                <w:rFonts w:ascii="Calibri" w:hAnsi="Calibri"/>
                <w:sz w:val="22"/>
              </w:rPr>
              <w:t>$461.0M</w:t>
            </w:r>
          </w:p>
        </w:tc>
        <w:tc>
          <w:tcPr>
            <w:tcW w:type="dxa" w:w="1234"/>
          </w:tcPr>
          <w:p>
            <w:r>
              <w:rPr>
                <w:rFonts w:ascii="Calibri" w:hAnsi="Calibri"/>
                <w:sz w:val="22"/>
              </w:rPr>
              <w:t>$491.0M</w:t>
            </w:r>
          </w:p>
        </w:tc>
        <w:tc>
          <w:tcPr>
            <w:tcW w:type="dxa" w:w="1234"/>
          </w:tcPr>
          <w:p>
            <w:r>
              <w:rPr>
                <w:rFonts w:ascii="Calibri" w:hAnsi="Calibri"/>
                <w:sz w:val="22"/>
              </w:rPr>
              <w:t>+6.5%</w:t>
            </w:r>
          </w:p>
        </w:tc>
        <w:tc>
          <w:tcPr>
            <w:tcW w:type="dxa" w:w="1234"/>
          </w:tcPr>
          <w:p>
            <w:r>
              <w:rPr>
                <w:rFonts w:ascii="Calibri" w:hAnsi="Calibri"/>
                <w:sz w:val="22"/>
              </w:rPr>
              <w:t>Low single digit NA total growth</w:t>
            </w:r>
          </w:p>
        </w:tc>
        <w:tc>
          <w:tcPr>
            <w:tcW w:type="dxa" w:w="1234"/>
          </w:tcPr>
          <w:p>
            <w:r>
              <w:rPr>
                <w:rFonts w:ascii="Calibri" w:hAnsi="Calibri"/>
                <w:sz w:val="22"/>
              </w:rPr>
              <w:t>Slightly above guidance midpoint</w:t>
            </w:r>
          </w:p>
        </w:tc>
      </w:tr>
      <w:tr>
        <w:tc>
          <w:tcPr>
            <w:tcW w:type="dxa" w:w="1234"/>
          </w:tcPr>
          <w:p>
            <w:r>
              <w:rPr>
                <w:rFonts w:ascii="Calibri" w:hAnsi="Calibri"/>
                <w:sz w:val="22"/>
              </w:rPr>
              <w:t>Europe Revenue ($M)</w:t>
            </w:r>
          </w:p>
        </w:tc>
        <w:tc>
          <w:tcPr>
            <w:tcW w:type="dxa" w:w="1234"/>
          </w:tcPr>
          <w:p>
            <w:r>
              <w:rPr>
                <w:rFonts w:ascii="Calibri" w:hAnsi="Calibri"/>
                <w:sz w:val="22"/>
              </w:rPr>
              <w:t>$619.6M</w:t>
            </w:r>
          </w:p>
        </w:tc>
        <w:tc>
          <w:tcPr>
            <w:tcW w:type="dxa" w:w="1234"/>
          </w:tcPr>
          <w:p>
            <w:r>
              <w:rPr>
                <w:rFonts w:ascii="Calibri" w:hAnsi="Calibri"/>
                <w:sz w:val="22"/>
              </w:rPr>
              <w:t>$554.5M</w:t>
            </w:r>
          </w:p>
        </w:tc>
        <w:tc>
          <w:tcPr>
            <w:tcW w:type="dxa" w:w="1234"/>
          </w:tcPr>
          <w:p>
            <w:r>
              <w:rPr>
                <w:rFonts w:ascii="Calibri" w:hAnsi="Calibri"/>
                <w:sz w:val="22"/>
              </w:rPr>
              <w:t>$591.8M</w:t>
            </w:r>
          </w:p>
        </w:tc>
        <w:tc>
          <w:tcPr>
            <w:tcW w:type="dxa" w:w="1234"/>
          </w:tcPr>
          <w:p>
            <w:r>
              <w:rPr>
                <w:rFonts w:ascii="Calibri" w:hAnsi="Calibri"/>
                <w:sz w:val="22"/>
              </w:rPr>
              <w:t>+6.7%</w:t>
            </w:r>
          </w:p>
        </w:tc>
        <w:tc>
          <w:tcPr>
            <w:tcW w:type="dxa" w:w="1234"/>
          </w:tcPr>
          <w:p>
            <w:r>
              <w:rPr>
                <w:rFonts w:ascii="Calibri" w:hAnsi="Calibri"/>
                <w:sz w:val="22"/>
              </w:rPr>
              <w:t>Low-to-mid single digit growth</w:t>
            </w:r>
          </w:p>
        </w:tc>
        <w:tc>
          <w:tcPr>
            <w:tcW w:type="dxa" w:w="1234"/>
          </w:tcPr>
          <w:p>
            <w:r>
              <w:rPr>
                <w:rFonts w:ascii="Calibri" w:hAnsi="Calibri"/>
                <w:sz w:val="22"/>
              </w:rPr>
              <w:t>~In line with guidance</w:t>
            </w:r>
          </w:p>
        </w:tc>
      </w:tr>
      <w:tr>
        <w:tc>
          <w:tcPr>
            <w:tcW w:type="dxa" w:w="1234"/>
          </w:tcPr>
          <w:p>
            <w:r>
              <w:rPr>
                <w:rFonts w:ascii="Calibri" w:hAnsi="Calibri"/>
                <w:sz w:val="22"/>
              </w:rPr>
              <w:t>Asia Revenue ($M)</w:t>
            </w:r>
          </w:p>
        </w:tc>
        <w:tc>
          <w:tcPr>
            <w:tcW w:type="dxa" w:w="1234"/>
          </w:tcPr>
          <w:p>
            <w:r>
              <w:rPr>
                <w:rFonts w:ascii="Calibri" w:hAnsi="Calibri"/>
                <w:sz w:val="22"/>
              </w:rPr>
              <w:t>$563.6M</w:t>
            </w:r>
          </w:p>
        </w:tc>
        <w:tc>
          <w:tcPr>
            <w:tcW w:type="dxa" w:w="1234"/>
          </w:tcPr>
          <w:p>
            <w:r>
              <w:rPr>
                <w:rFonts w:ascii="Calibri" w:hAnsi="Calibri"/>
                <w:sz w:val="22"/>
              </w:rPr>
              <w:t>$474.0M</w:t>
            </w:r>
          </w:p>
        </w:tc>
        <w:tc>
          <w:tcPr>
            <w:tcW w:type="dxa" w:w="1234"/>
          </w:tcPr>
          <w:p>
            <w:r>
              <w:rPr>
                <w:rFonts w:ascii="Calibri" w:hAnsi="Calibri"/>
                <w:sz w:val="22"/>
              </w:rPr>
              <w:t>$545.6M</w:t>
            </w:r>
          </w:p>
        </w:tc>
        <w:tc>
          <w:tcPr>
            <w:tcW w:type="dxa" w:w="1234"/>
          </w:tcPr>
          <w:p>
            <w:r>
              <w:rPr>
                <w:rFonts w:ascii="Calibri" w:hAnsi="Calibri"/>
                <w:sz w:val="22"/>
              </w:rPr>
              <w:t>+15.1%</w:t>
            </w:r>
          </w:p>
        </w:tc>
        <w:tc>
          <w:tcPr>
            <w:tcW w:type="dxa" w:w="1234"/>
          </w:tcPr>
          <w:p>
            <w:r>
              <w:rPr>
                <w:rFonts w:ascii="Calibri" w:hAnsi="Calibri"/>
                <w:sz w:val="22"/>
              </w:rPr>
              <w:t>High single digit Asia growth; China ~mid-teens</w:t>
            </w:r>
          </w:p>
        </w:tc>
        <w:tc>
          <w:tcPr>
            <w:tcW w:type="dxa" w:w="1234"/>
          </w:tcPr>
          <w:p>
            <w:r>
              <w:rPr>
                <w:rFonts w:ascii="Calibri" w:hAnsi="Calibri"/>
                <w:sz w:val="22"/>
              </w:rPr>
              <w:t>Slightly below guidance midpoint</w:t>
            </w:r>
          </w:p>
        </w:tc>
      </w:tr>
      <w:tr>
        <w:tc>
          <w:tcPr>
            <w:tcW w:type="dxa" w:w="1234"/>
          </w:tcPr>
          <w:p>
            <w:r>
              <w:rPr>
                <w:rFonts w:ascii="Calibri" w:hAnsi="Calibri"/>
                <w:sz w:val="22"/>
              </w:rPr>
              <w:t>SSS CC — North America (%)</w:t>
            </w:r>
          </w:p>
        </w:tc>
        <w:tc>
          <w:tcPr>
            <w:tcW w:type="dxa" w:w="1234"/>
          </w:tcPr>
          <w:p>
            <w:r>
              <w:rPr>
                <w:rFonts w:ascii="Calibri" w:hAnsi="Calibri"/>
                <w:sz w:val="22"/>
              </w:rPr>
              <w:t>+16%</w:t>
            </w:r>
          </w:p>
        </w:tc>
        <w:tc>
          <w:tcPr>
            <w:tcW w:type="dxa" w:w="1234"/>
          </w:tcPr>
          <w:p>
            <w:r>
              <w:rPr>
                <w:rFonts w:ascii="Calibri" w:hAnsi="Calibri"/>
                <w:sz w:val="22"/>
              </w:rPr>
              <w:t>+12%</w:t>
            </w:r>
          </w:p>
        </w:tc>
        <w:tc>
          <w:tcPr>
            <w:tcW w:type="dxa" w:w="1234"/>
          </w:tcPr>
          <w:p>
            <w:r>
              <w:rPr>
                <w:rFonts w:ascii="Calibri" w:hAnsi="Calibri"/>
                <w:sz w:val="22"/>
              </w:rPr>
              <w:t>+6.8%</w:t>
            </w:r>
          </w:p>
        </w:tc>
        <w:tc>
          <w:tcPr>
            <w:tcW w:type="dxa" w:w="1234"/>
          </w:tcPr>
          <w:p>
            <w:r>
              <w:rPr>
                <w:rFonts w:ascii="Calibri" w:hAnsi="Calibri"/>
                <w:sz w:val="22"/>
              </w:rPr>
              <w:t>N/A (consensus metric)</w:t>
            </w:r>
          </w:p>
        </w:tc>
        <w:tc>
          <w:tcPr>
            <w:tcW w:type="dxa" w:w="1234"/>
          </w:tcPr>
          <w:p>
            <w:r>
              <w:rPr>
                <w:rFonts w:ascii="Calibri" w:hAnsi="Calibri"/>
                <w:sz w:val="22"/>
              </w:rPr>
              <w:t>No specific SSS guide</w:t>
            </w:r>
          </w:p>
        </w:tc>
        <w:tc>
          <w:tcPr>
            <w:tcW w:type="dxa" w:w="1234"/>
          </w:tcPr>
          <w:p>
            <w:r>
              <w:rPr>
                <w:rFonts w:ascii="Calibri" w:hAnsi="Calibri"/>
                <w:sz w:val="22"/>
              </w:rPr>
              <w:t>N/A</w:t>
            </w:r>
          </w:p>
        </w:tc>
      </w:tr>
      <w:tr>
        <w:tc>
          <w:tcPr>
            <w:tcW w:type="dxa" w:w="1234"/>
          </w:tcPr>
          <w:p>
            <w:r>
              <w:rPr>
                <w:rFonts w:ascii="Calibri" w:hAnsi="Calibri"/>
                <w:sz w:val="22"/>
              </w:rPr>
              <w:t>SSS CC — Europe (%)</w:t>
            </w:r>
          </w:p>
        </w:tc>
        <w:tc>
          <w:tcPr>
            <w:tcW w:type="dxa" w:w="1234"/>
          </w:tcPr>
          <w:p>
            <w:r>
              <w:rPr>
                <w:rFonts w:ascii="Calibri" w:hAnsi="Calibri"/>
                <w:sz w:val="22"/>
              </w:rPr>
              <w:t>+5%</w:t>
            </w:r>
          </w:p>
        </w:tc>
        <w:tc>
          <w:tcPr>
            <w:tcW w:type="dxa" w:w="1234"/>
          </w:tcPr>
          <w:p>
            <w:r>
              <w:rPr>
                <w:rFonts w:ascii="Calibri" w:hAnsi="Calibri"/>
                <w:sz w:val="22"/>
              </w:rPr>
              <w:t>+10%</w:t>
            </w:r>
          </w:p>
        </w:tc>
        <w:tc>
          <w:tcPr>
            <w:tcW w:type="dxa" w:w="1234"/>
          </w:tcPr>
          <w:p>
            <w:r>
              <w:rPr>
                <w:rFonts w:ascii="Calibri" w:hAnsi="Calibri"/>
                <w:sz w:val="22"/>
              </w:rPr>
              <w:t>+4.9%</w:t>
            </w:r>
          </w:p>
        </w:tc>
        <w:tc>
          <w:tcPr>
            <w:tcW w:type="dxa" w:w="1234"/>
          </w:tcPr>
          <w:p>
            <w:r>
              <w:rPr>
                <w:rFonts w:ascii="Calibri" w:hAnsi="Calibri"/>
                <w:sz w:val="22"/>
              </w:rPr>
              <w:t>N/A (consensus metric)</w:t>
            </w:r>
          </w:p>
        </w:tc>
        <w:tc>
          <w:tcPr>
            <w:tcW w:type="dxa" w:w="1234"/>
          </w:tcPr>
          <w:p>
            <w:r>
              <w:rPr>
                <w:rFonts w:ascii="Calibri" w:hAnsi="Calibri"/>
                <w:sz w:val="22"/>
              </w:rPr>
              <w:t>No specific SSS guide</w:t>
            </w:r>
          </w:p>
        </w:tc>
        <w:tc>
          <w:tcPr>
            <w:tcW w:type="dxa" w:w="1234"/>
          </w:tcPr>
          <w:p>
            <w:r>
              <w:rPr>
                <w:rFonts w:ascii="Calibri" w:hAnsi="Calibri"/>
                <w:sz w:val="22"/>
              </w:rPr>
              <w:t>N/A</w:t>
            </w:r>
          </w:p>
        </w:tc>
      </w:tr>
      <w:tr>
        <w:tc>
          <w:tcPr>
            <w:tcW w:type="dxa" w:w="1234"/>
          </w:tcPr>
          <w:p>
            <w:r>
              <w:rPr>
                <w:rFonts w:ascii="Calibri" w:hAnsi="Calibri"/>
                <w:sz w:val="22"/>
              </w:rPr>
              <w:t>SSS CC — Asia (%)</w:t>
            </w:r>
          </w:p>
        </w:tc>
        <w:tc>
          <w:tcPr>
            <w:tcW w:type="dxa" w:w="1234"/>
          </w:tcPr>
          <w:p>
            <w:r>
              <w:rPr>
                <w:rFonts w:ascii="Calibri" w:hAnsi="Calibri"/>
                <w:sz w:val="22"/>
              </w:rPr>
              <w:t>+25%</w:t>
            </w:r>
          </w:p>
        </w:tc>
        <w:tc>
          <w:tcPr>
            <w:tcW w:type="dxa" w:w="1234"/>
          </w:tcPr>
          <w:p>
            <w:r>
              <w:rPr>
                <w:rFonts w:ascii="Calibri" w:hAnsi="Calibri"/>
                <w:sz w:val="22"/>
              </w:rPr>
              <w:t>+18%</w:t>
            </w:r>
          </w:p>
        </w:tc>
        <w:tc>
          <w:tcPr>
            <w:tcW w:type="dxa" w:w="1234"/>
          </w:tcPr>
          <w:p>
            <w:r>
              <w:rPr>
                <w:rFonts w:ascii="Calibri" w:hAnsi="Calibri"/>
                <w:sz w:val="22"/>
              </w:rPr>
              <w:t>+11.3%</w:t>
            </w:r>
          </w:p>
        </w:tc>
        <w:tc>
          <w:tcPr>
            <w:tcW w:type="dxa" w:w="1234"/>
          </w:tcPr>
          <w:p>
            <w:r>
              <w:rPr>
                <w:rFonts w:ascii="Calibri" w:hAnsi="Calibri"/>
                <w:sz w:val="22"/>
              </w:rPr>
              <w:t>N/A (consensus metric)</w:t>
            </w:r>
          </w:p>
        </w:tc>
        <w:tc>
          <w:tcPr>
            <w:tcW w:type="dxa" w:w="1234"/>
          </w:tcPr>
          <w:p>
            <w:r>
              <w:rPr>
                <w:rFonts w:ascii="Calibri" w:hAnsi="Calibri"/>
                <w:sz w:val="22"/>
              </w:rPr>
              <w:t>No specific SSS guide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August 5, 2026. Guidance from Q4 FY2026 earnings call (May 21, 2026).</w:t>
      </w:r>
    </w:p>
    <w:p>
      <w:pPr>
        <w:pStyle w:val="Heading3"/>
      </w:pPr>
      <w:r>
        <w:rPr>
          <w:rFonts w:ascii="Calibri" w:hAnsi="Calibri"/>
          <w:b/>
          <w:color w:val="3B4259"/>
          <w:sz w:val="24"/>
        </w:rPr>
        <w:t>Table 2 — Beat/Miss History (Last 8 Quarters, Top 2 KPIs: Net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Q4 FY2026</w:t>
            </w:r>
          </w:p>
        </w:tc>
        <w:tc>
          <w:tcPr>
            <w:tcW w:type="dxa" w:w="1440"/>
          </w:tcPr>
          <w:p>
            <w:r>
              <w:rPr>
                <w:rFonts w:ascii="Calibri" w:hAnsi="Calibri"/>
                <w:sz w:val="22"/>
              </w:rPr>
              <w:t>Net Revenue ($M)</w:t>
            </w:r>
          </w:p>
        </w:tc>
        <w:tc>
          <w:tcPr>
            <w:tcW w:type="dxa" w:w="1440"/>
          </w:tcPr>
          <w:p>
            <w:r>
              <w:rPr>
                <w:rFonts w:ascii="Calibri" w:hAnsi="Calibri"/>
                <w:sz w:val="22"/>
              </w:rPr>
              <w:t>$1,978.7M</w:t>
            </w:r>
          </w:p>
        </w:tc>
        <w:tc>
          <w:tcPr>
            <w:tcW w:type="dxa" w:w="1440"/>
          </w:tcPr>
          <w:p>
            <w:r>
              <w:rPr>
                <w:rFonts w:ascii="Calibri" w:hAnsi="Calibri"/>
                <w:sz w:val="22"/>
              </w:rPr>
              <w:t>$1,849.1M</w:t>
            </w:r>
          </w:p>
        </w:tc>
        <w:tc>
          <w:tcPr>
            <w:tcW w:type="dxa" w:w="1440"/>
          </w:tcPr>
          <w:p>
            <w:r>
              <w:rPr>
                <w:rFonts w:ascii="Calibri" w:hAnsi="Calibri"/>
                <w:b/>
                <w:color w:val="30A46C"/>
                <w:sz w:val="22"/>
              </w:rPr>
              <w:t>+7.0%</w:t>
            </w:r>
          </w:p>
        </w:tc>
        <w:tc>
          <w:tcPr>
            <w:tcW w:type="dxa" w:w="1440"/>
          </w:tcPr>
          <w:p>
            <w:r>
              <w:rPr>
                <w:rFonts w:ascii="Calibri" w:hAnsi="Calibri"/>
                <w:b/>
                <w:color w:val="30A46C"/>
                <w:sz w:val="22"/>
              </w:rPr>
              <w:t>Beat</w:t>
            </w:r>
          </w:p>
        </w:tc>
      </w:tr>
      <w:tr>
        <w:tc>
          <w:tcPr>
            <w:tcW w:type="dxa" w:w="1440"/>
          </w:tcPr>
          <w:p>
            <w:r>
              <w:rPr>
                <w:rFonts w:ascii="Calibri" w:hAnsi="Calibri"/>
                <w:sz w:val="22"/>
              </w:rPr>
              <w:t>Q4 FY2026</w:t>
            </w:r>
          </w:p>
        </w:tc>
        <w:tc>
          <w:tcPr>
            <w:tcW w:type="dxa" w:w="1440"/>
          </w:tcPr>
          <w:p>
            <w:r>
              <w:rPr>
                <w:rFonts w:ascii="Calibri" w:hAnsi="Calibri"/>
                <w:sz w:val="22"/>
              </w:rPr>
              <w:t>Op. EPS ($)</w:t>
            </w:r>
          </w:p>
        </w:tc>
        <w:tc>
          <w:tcPr>
            <w:tcW w:type="dxa" w:w="1440"/>
          </w:tcPr>
          <w:p>
            <w:r>
              <w:rPr>
                <w:rFonts w:ascii="Calibri" w:hAnsi="Calibri"/>
                <w:sz w:val="22"/>
              </w:rPr>
              <w:t>$2.80</w:t>
            </w:r>
          </w:p>
        </w:tc>
        <w:tc>
          <w:tcPr>
            <w:tcW w:type="dxa" w:w="1440"/>
          </w:tcPr>
          <w:p>
            <w:r>
              <w:rPr>
                <w:rFonts w:ascii="Calibri" w:hAnsi="Calibri"/>
                <w:sz w:val="22"/>
              </w:rPr>
              <w:t>$2.55</w:t>
            </w:r>
          </w:p>
        </w:tc>
        <w:tc>
          <w:tcPr>
            <w:tcW w:type="dxa" w:w="1440"/>
          </w:tcPr>
          <w:p>
            <w:r>
              <w:rPr>
                <w:rFonts w:ascii="Calibri" w:hAnsi="Calibri"/>
                <w:b/>
                <w:color w:val="30A46C"/>
                <w:sz w:val="22"/>
              </w:rPr>
              <w:t>+10.0%</w:t>
            </w:r>
          </w:p>
        </w:tc>
        <w:tc>
          <w:tcPr>
            <w:tcW w:type="dxa" w:w="1440"/>
          </w:tcPr>
          <w:p>
            <w:r>
              <w:rPr>
                <w:rFonts w:ascii="Calibri" w:hAnsi="Calibri"/>
                <w:b/>
                <w:color w:val="30A46C"/>
                <w:sz w:val="22"/>
              </w:rPr>
              <w:t>Beat</w:t>
            </w:r>
          </w:p>
        </w:tc>
      </w:tr>
      <w:tr>
        <w:tc>
          <w:tcPr>
            <w:tcW w:type="dxa" w:w="1440"/>
          </w:tcPr>
          <w:p>
            <w:r>
              <w:rPr>
                <w:rFonts w:ascii="Calibri" w:hAnsi="Calibri"/>
                <w:sz w:val="22"/>
              </w:rPr>
              <w:t>Q3 FY2026</w:t>
            </w:r>
          </w:p>
        </w:tc>
        <w:tc>
          <w:tcPr>
            <w:tcW w:type="dxa" w:w="1440"/>
          </w:tcPr>
          <w:p>
            <w:r>
              <w:rPr>
                <w:rFonts w:ascii="Calibri" w:hAnsi="Calibri"/>
                <w:sz w:val="22"/>
              </w:rPr>
              <w:t>Net Revenue ($M)</w:t>
            </w:r>
          </w:p>
        </w:tc>
        <w:tc>
          <w:tcPr>
            <w:tcW w:type="dxa" w:w="1440"/>
          </w:tcPr>
          <w:p>
            <w:r>
              <w:rPr>
                <w:rFonts w:ascii="Calibri" w:hAnsi="Calibri"/>
                <w:sz w:val="22"/>
              </w:rPr>
              <w:t>$2,406.0M</w:t>
            </w:r>
          </w:p>
        </w:tc>
        <w:tc>
          <w:tcPr>
            <w:tcW w:type="dxa" w:w="1440"/>
          </w:tcPr>
          <w:p>
            <w:r>
              <w:rPr>
                <w:rFonts w:ascii="Calibri" w:hAnsi="Calibri"/>
                <w:sz w:val="22"/>
              </w:rPr>
              <w:t>$2,319.1M</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Q3 FY2026</w:t>
            </w:r>
          </w:p>
        </w:tc>
        <w:tc>
          <w:tcPr>
            <w:tcW w:type="dxa" w:w="1440"/>
          </w:tcPr>
          <w:p>
            <w:r>
              <w:rPr>
                <w:rFonts w:ascii="Calibri" w:hAnsi="Calibri"/>
                <w:sz w:val="22"/>
              </w:rPr>
              <w:t>Op. EPS ($)</w:t>
            </w:r>
          </w:p>
        </w:tc>
        <w:tc>
          <w:tcPr>
            <w:tcW w:type="dxa" w:w="1440"/>
          </w:tcPr>
          <w:p>
            <w:r>
              <w:rPr>
                <w:rFonts w:ascii="Calibri" w:hAnsi="Calibri"/>
                <w:sz w:val="22"/>
              </w:rPr>
              <w:t>$6.22</w:t>
            </w:r>
          </w:p>
        </w:tc>
        <w:tc>
          <w:tcPr>
            <w:tcW w:type="dxa" w:w="1440"/>
          </w:tcPr>
          <w:p>
            <w:r>
              <w:rPr>
                <w:rFonts w:ascii="Calibri" w:hAnsi="Calibri"/>
                <w:sz w:val="22"/>
              </w:rPr>
              <w:t>$5.84</w:t>
            </w:r>
          </w:p>
        </w:tc>
        <w:tc>
          <w:tcPr>
            <w:tcW w:type="dxa" w:w="1440"/>
          </w:tcPr>
          <w:p>
            <w:r>
              <w:rPr>
                <w:rFonts w:ascii="Calibri" w:hAnsi="Calibri"/>
                <w:b/>
                <w:color w:val="30A46C"/>
                <w:sz w:val="22"/>
              </w:rPr>
              <w:t>+6.5%</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Net Revenue ($M)</w:t>
            </w:r>
          </w:p>
        </w:tc>
        <w:tc>
          <w:tcPr>
            <w:tcW w:type="dxa" w:w="1440"/>
          </w:tcPr>
          <w:p>
            <w:r>
              <w:rPr>
                <w:rFonts w:ascii="Calibri" w:hAnsi="Calibri"/>
                <w:sz w:val="22"/>
              </w:rPr>
              <w:t>$2,010.7M</w:t>
            </w:r>
          </w:p>
        </w:tc>
        <w:tc>
          <w:tcPr>
            <w:tcW w:type="dxa" w:w="1440"/>
          </w:tcPr>
          <w:p>
            <w:r>
              <w:rPr>
                <w:rFonts w:ascii="Calibri" w:hAnsi="Calibri"/>
                <w:sz w:val="22"/>
              </w:rPr>
              <w:t>$1,888.9M</w:t>
            </w:r>
          </w:p>
        </w:tc>
        <w:tc>
          <w:tcPr>
            <w:tcW w:type="dxa" w:w="1440"/>
          </w:tcPr>
          <w:p>
            <w:r>
              <w:rPr>
                <w:rFonts w:ascii="Calibri" w:hAnsi="Calibri"/>
                <w:b/>
                <w:color w:val="30A46C"/>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Op. EPS ($)</w:t>
            </w:r>
          </w:p>
        </w:tc>
        <w:tc>
          <w:tcPr>
            <w:tcW w:type="dxa" w:w="1440"/>
          </w:tcPr>
          <w:p>
            <w:r>
              <w:rPr>
                <w:rFonts w:ascii="Calibri" w:hAnsi="Calibri"/>
                <w:sz w:val="22"/>
              </w:rPr>
              <w:t>$3.79</w:t>
            </w:r>
          </w:p>
        </w:tc>
        <w:tc>
          <w:tcPr>
            <w:tcW w:type="dxa" w:w="1440"/>
          </w:tcPr>
          <w:p>
            <w:r>
              <w:rPr>
                <w:rFonts w:ascii="Calibri" w:hAnsi="Calibri"/>
                <w:sz w:val="22"/>
              </w:rPr>
              <w:t>$3.45</w:t>
            </w:r>
          </w:p>
        </w:tc>
        <w:tc>
          <w:tcPr>
            <w:tcW w:type="dxa" w:w="1440"/>
          </w:tcPr>
          <w:p>
            <w:r>
              <w:rPr>
                <w:rFonts w:ascii="Calibri" w:hAnsi="Calibri"/>
                <w:b/>
                <w:color w:val="30A46C"/>
                <w:sz w:val="22"/>
              </w:rPr>
              <w:t>+9.8%</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Net Revenue ($M)</w:t>
            </w:r>
          </w:p>
        </w:tc>
        <w:tc>
          <w:tcPr>
            <w:tcW w:type="dxa" w:w="1440"/>
          </w:tcPr>
          <w:p>
            <w:r>
              <w:rPr>
                <w:rFonts w:ascii="Calibri" w:hAnsi="Calibri"/>
                <w:sz w:val="22"/>
              </w:rPr>
              <w:t>$1,719.1M</w:t>
            </w:r>
          </w:p>
        </w:tc>
        <w:tc>
          <w:tcPr>
            <w:tcW w:type="dxa" w:w="1440"/>
          </w:tcPr>
          <w:p>
            <w:r>
              <w:rPr>
                <w:rFonts w:ascii="Calibri" w:hAnsi="Calibri"/>
                <w:sz w:val="22"/>
              </w:rPr>
              <w:t>$1,658.9M</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Op. EPS ($)</w:t>
            </w:r>
          </w:p>
        </w:tc>
        <w:tc>
          <w:tcPr>
            <w:tcW w:type="dxa" w:w="1440"/>
          </w:tcPr>
          <w:p>
            <w:r>
              <w:rPr>
                <w:rFonts w:ascii="Calibri" w:hAnsi="Calibri"/>
                <w:sz w:val="22"/>
              </w:rPr>
              <w:t>$3.77</w:t>
            </w:r>
          </w:p>
        </w:tc>
        <w:tc>
          <w:tcPr>
            <w:tcW w:type="dxa" w:w="1440"/>
          </w:tcPr>
          <w:p>
            <w:r>
              <w:rPr>
                <w:rFonts w:ascii="Calibri" w:hAnsi="Calibri"/>
                <w:sz w:val="22"/>
              </w:rPr>
              <w:t>$3.50</w:t>
            </w:r>
          </w:p>
        </w:tc>
        <w:tc>
          <w:tcPr>
            <w:tcW w:type="dxa" w:w="1440"/>
          </w:tcPr>
          <w:p>
            <w:r>
              <w:rPr>
                <w:rFonts w:ascii="Calibri" w:hAnsi="Calibri"/>
                <w:b/>
                <w:color w:val="30A46C"/>
                <w:sz w:val="22"/>
              </w:rPr>
              <w:t>+7.7%</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Net Revenue ($M)</w:t>
            </w:r>
          </w:p>
        </w:tc>
        <w:tc>
          <w:tcPr>
            <w:tcW w:type="dxa" w:w="1440"/>
          </w:tcPr>
          <w:p>
            <w:r>
              <w:rPr>
                <w:rFonts w:ascii="Calibri" w:hAnsi="Calibri"/>
                <w:sz w:val="22"/>
              </w:rPr>
              <w:t>$1,697.3M</w:t>
            </w:r>
          </w:p>
        </w:tc>
        <w:tc>
          <w:tcPr>
            <w:tcW w:type="dxa" w:w="1440"/>
          </w:tcPr>
          <w:p>
            <w:r>
              <w:rPr>
                <w:rFonts w:ascii="Calibri" w:hAnsi="Calibri"/>
                <w:sz w:val="22"/>
              </w:rPr>
              <w:t>$1,645.4M</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Op. EPS ($)</w:t>
            </w:r>
          </w:p>
        </w:tc>
        <w:tc>
          <w:tcPr>
            <w:tcW w:type="dxa" w:w="1440"/>
          </w:tcPr>
          <w:p>
            <w:r>
              <w:rPr>
                <w:rFonts w:ascii="Calibri" w:hAnsi="Calibri"/>
                <w:sz w:val="22"/>
              </w:rPr>
              <w:t>$2.27</w:t>
            </w:r>
          </w:p>
        </w:tc>
        <w:tc>
          <w:tcPr>
            <w:tcW w:type="dxa" w:w="1440"/>
          </w:tcPr>
          <w:p>
            <w:r>
              <w:rPr>
                <w:rFonts w:ascii="Calibri" w:hAnsi="Calibri"/>
                <w:sz w:val="22"/>
              </w:rPr>
              <w:t>$1.99</w:t>
            </w:r>
          </w:p>
        </w:tc>
        <w:tc>
          <w:tcPr>
            <w:tcW w:type="dxa" w:w="1440"/>
          </w:tcPr>
          <w:p>
            <w:r>
              <w:rPr>
                <w:rFonts w:ascii="Calibri" w:hAnsi="Calibri"/>
                <w:b/>
                <w:color w:val="30A46C"/>
                <w:sz w:val="22"/>
              </w:rPr>
              <w:t>+14.1%</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Net Revenue ($M)</w:t>
            </w:r>
          </w:p>
        </w:tc>
        <w:tc>
          <w:tcPr>
            <w:tcW w:type="dxa" w:w="1440"/>
          </w:tcPr>
          <w:p>
            <w:r>
              <w:rPr>
                <w:rFonts w:ascii="Calibri" w:hAnsi="Calibri"/>
                <w:sz w:val="22"/>
              </w:rPr>
              <w:t>$2,143.5M</w:t>
            </w:r>
          </w:p>
        </w:tc>
        <w:tc>
          <w:tcPr>
            <w:tcW w:type="dxa" w:w="1440"/>
          </w:tcPr>
          <w:p>
            <w:r>
              <w:rPr>
                <w:rFonts w:ascii="Calibri" w:hAnsi="Calibri"/>
                <w:sz w:val="22"/>
              </w:rPr>
              <w:t>$2,012.9M</w:t>
            </w:r>
          </w:p>
        </w:tc>
        <w:tc>
          <w:tcPr>
            <w:tcW w:type="dxa" w:w="1440"/>
          </w:tcPr>
          <w:p>
            <w:r>
              <w:rPr>
                <w:rFonts w:ascii="Calibri" w:hAnsi="Calibri"/>
                <w:b/>
                <w:color w:val="30A46C"/>
                <w:sz w:val="22"/>
              </w:rPr>
              <w:t>+6.5%</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Op. EPS ($)</w:t>
            </w:r>
          </w:p>
        </w:tc>
        <w:tc>
          <w:tcPr>
            <w:tcW w:type="dxa" w:w="1440"/>
          </w:tcPr>
          <w:p>
            <w:r>
              <w:rPr>
                <w:rFonts w:ascii="Calibri" w:hAnsi="Calibri"/>
                <w:sz w:val="22"/>
              </w:rPr>
              <w:t>$4.82</w:t>
            </w:r>
          </w:p>
        </w:tc>
        <w:tc>
          <w:tcPr>
            <w:tcW w:type="dxa" w:w="1440"/>
          </w:tcPr>
          <w:p>
            <w:r>
              <w:rPr>
                <w:rFonts w:ascii="Calibri" w:hAnsi="Calibri"/>
                <w:sz w:val="22"/>
              </w:rPr>
              <w:t>$4.53</w:t>
            </w:r>
          </w:p>
        </w:tc>
        <w:tc>
          <w:tcPr>
            <w:tcW w:type="dxa" w:w="1440"/>
          </w:tcPr>
          <w:p>
            <w:r>
              <w:rPr>
                <w:rFonts w:ascii="Calibri" w:hAnsi="Calibri"/>
                <w:b/>
                <w:color w:val="30A46C"/>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Net Revenue ($M)</w:t>
            </w:r>
          </w:p>
        </w:tc>
        <w:tc>
          <w:tcPr>
            <w:tcW w:type="dxa" w:w="1440"/>
          </w:tcPr>
          <w:p>
            <w:r>
              <w:rPr>
                <w:rFonts w:ascii="Calibri" w:hAnsi="Calibri"/>
                <w:sz w:val="22"/>
              </w:rPr>
              <w:t>$1,726.0M</w:t>
            </w:r>
          </w:p>
        </w:tc>
        <w:tc>
          <w:tcPr>
            <w:tcW w:type="dxa" w:w="1440"/>
          </w:tcPr>
          <w:p>
            <w:r>
              <w:rPr>
                <w:rFonts w:ascii="Calibri" w:hAnsi="Calibri"/>
                <w:sz w:val="22"/>
              </w:rPr>
              <w:t>$1,681.6M</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Op. EPS ($)</w:t>
            </w:r>
          </w:p>
        </w:tc>
        <w:tc>
          <w:tcPr>
            <w:tcW w:type="dxa" w:w="1440"/>
          </w:tcPr>
          <w:p>
            <w:r>
              <w:rPr>
                <w:rFonts w:ascii="Calibri" w:hAnsi="Calibri"/>
                <w:sz w:val="22"/>
              </w:rPr>
              <w:t>$2.54</w:t>
            </w:r>
          </w:p>
        </w:tc>
        <w:tc>
          <w:tcPr>
            <w:tcW w:type="dxa" w:w="1440"/>
          </w:tcPr>
          <w:p>
            <w:r>
              <w:rPr>
                <w:rFonts w:ascii="Calibri" w:hAnsi="Calibri"/>
                <w:sz w:val="22"/>
              </w:rPr>
              <w:t>$2.42</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Net Revenue ($M)</w:t>
            </w:r>
          </w:p>
        </w:tc>
        <w:tc>
          <w:tcPr>
            <w:tcW w:type="dxa" w:w="1440"/>
          </w:tcPr>
          <w:p>
            <w:r>
              <w:rPr>
                <w:rFonts w:ascii="Calibri" w:hAnsi="Calibri"/>
                <w:sz w:val="22"/>
              </w:rPr>
              <w:t>$1,512.2M</w:t>
            </w:r>
          </w:p>
        </w:tc>
        <w:tc>
          <w:tcPr>
            <w:tcW w:type="dxa" w:w="1440"/>
          </w:tcPr>
          <w:p>
            <w:r>
              <w:rPr>
                <w:rFonts w:ascii="Calibri" w:hAnsi="Calibri"/>
                <w:sz w:val="22"/>
              </w:rPr>
              <w:t>$1,491.6M</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Op. EPS ($)</w:t>
            </w:r>
          </w:p>
        </w:tc>
        <w:tc>
          <w:tcPr>
            <w:tcW w:type="dxa" w:w="1440"/>
          </w:tcPr>
          <w:p>
            <w:r>
              <w:rPr>
                <w:rFonts w:ascii="Calibri" w:hAnsi="Calibri"/>
                <w:sz w:val="22"/>
              </w:rPr>
              <w:t>$2.70</w:t>
            </w:r>
          </w:p>
        </w:tc>
        <w:tc>
          <w:tcPr>
            <w:tcW w:type="dxa" w:w="1440"/>
          </w:tcPr>
          <w:p>
            <w:r>
              <w:rPr>
                <w:rFonts w:ascii="Calibri" w:hAnsi="Calibri"/>
                <w:sz w:val="22"/>
              </w:rPr>
              <w:t>$2.47</w:t>
            </w:r>
          </w:p>
        </w:tc>
        <w:tc>
          <w:tcPr>
            <w:tcW w:type="dxa" w:w="1440"/>
          </w:tcPr>
          <w:p>
            <w:r>
              <w:rPr>
                <w:rFonts w:ascii="Calibri" w:hAnsi="Calibri"/>
                <w:b/>
                <w:color w:val="30A46C"/>
                <w:sz w:val="22"/>
              </w:rPr>
              <w:t>+9.3%</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RL has beaten consensus on both revenue and operating EPS in every one of the last 8 quarters, with EPS surprise averaging ~8–10% — a remarkably consistent track record that has set a high implicit bar heading into Q1 FY2027.</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revisions since the May 21 earnings call; initial FY2027 guidance remains the baseline. Management tone was constructive on AUR and Asia but </w:t>
      </w:r>
      <w:r>
        <w:rPr>
          <w:rFonts w:ascii="Calibri" w:hAnsi="Calibri"/>
          <w:b/>
          <w:color w:val="525866"/>
          <w:sz w:val="22"/>
        </w:rPr>
        <w:t>deliberately cautious on Europe</w:t>
      </w:r>
      <w:r>
        <w:rPr>
          <w:rFonts w:ascii="Calibri" w:hAnsi="Calibri"/>
          <w:color w:val="525866"/>
          <w:sz w:val="22"/>
        </w:rPr>
        <w:t xml:space="preserve"> — the most notable shift from prior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FY26 Earnings Call, May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FY27 CC Revenue Growth</w:t>
            </w:r>
          </w:p>
        </w:tc>
        <w:tc>
          <w:tcPr>
            <w:tcW w:type="dxa" w:w="1728"/>
          </w:tcPr>
          <w:p>
            <w:r>
              <w:rPr>
                <w:rFonts w:ascii="Calibri" w:hAnsi="Calibri"/>
                <w:sz w:val="22"/>
              </w:rPr>
              <w:t>Mid-to-high single digits</w:t>
            </w:r>
          </w:p>
        </w:tc>
        <w:tc>
          <w:tcPr>
            <w:tcW w:type="dxa" w:w="1728"/>
          </w:tcPr>
          <w:p>
            <w:r>
              <w:rPr>
                <w:rFonts w:ascii="Calibri" w:hAnsi="Calibri"/>
                <w:sz w:val="22"/>
              </w:rPr>
              <w:t>—</w:t>
            </w:r>
          </w:p>
        </w:tc>
        <w:tc>
          <w:tcPr>
            <w:tcW w:type="dxa" w:w="1728"/>
          </w:tcPr>
          <w:p>
            <w:r>
              <w:rPr>
                <w:rFonts w:ascii="Calibri" w:hAnsi="Calibri"/>
                <w:sz w:val="22"/>
              </w:rPr>
              <w:t>+7.9% CC (consensus)</w:t>
            </w:r>
          </w:p>
        </w:tc>
        <w:tc>
          <w:tcPr>
            <w:tcW w:type="dxa" w:w="1728"/>
          </w:tcPr>
          <w:p>
            <w:r>
              <w:rPr>
                <w:rFonts w:ascii="Calibri" w:hAnsi="Calibri"/>
                <w:sz w:val="22"/>
              </w:rPr>
              <w:t>No post-earnings update; consensus in line with guidance midpoint</w:t>
            </w:r>
          </w:p>
        </w:tc>
      </w:tr>
      <w:tr>
        <w:tc>
          <w:tcPr>
            <w:tcW w:type="dxa" w:w="1728"/>
          </w:tcPr>
          <w:p>
            <w:r>
              <w:rPr>
                <w:rFonts w:ascii="Calibri" w:hAnsi="Calibri"/>
                <w:sz w:val="22"/>
              </w:rPr>
              <w:t>Q1 FY27 Operating Margin Expansion</w:t>
            </w:r>
          </w:p>
        </w:tc>
        <w:tc>
          <w:tcPr>
            <w:tcW w:type="dxa" w:w="1728"/>
          </w:tcPr>
          <w:p>
            <w:r>
              <w:rPr>
                <w:rFonts w:ascii="Calibri" w:hAnsi="Calibri"/>
                <w:sz w:val="22"/>
              </w:rPr>
              <w:t>+80 to +120 bps CC</w:t>
            </w:r>
          </w:p>
        </w:tc>
        <w:tc>
          <w:tcPr>
            <w:tcW w:type="dxa" w:w="1728"/>
          </w:tcPr>
          <w:p>
            <w:r>
              <w:rPr>
                <w:rFonts w:ascii="Calibri" w:hAnsi="Calibri"/>
                <w:sz w:val="22"/>
              </w:rPr>
              <w:t>—</w:t>
            </w:r>
          </w:p>
        </w:tc>
        <w:tc>
          <w:tcPr>
            <w:tcW w:type="dxa" w:w="1728"/>
          </w:tcPr>
          <w:p>
            <w:r>
              <w:rPr>
                <w:rFonts w:ascii="Calibri" w:hAnsi="Calibri"/>
                <w:sz w:val="22"/>
              </w:rPr>
              <w:t>~+100 bps implied by consensus</w:t>
            </w:r>
          </w:p>
        </w:tc>
        <w:tc>
          <w:tcPr>
            <w:tcW w:type="dxa" w:w="1728"/>
          </w:tcPr>
          <w:p>
            <w:r>
              <w:rPr>
                <w:rFonts w:ascii="Calibri" w:hAnsi="Calibri"/>
                <w:sz w:val="22"/>
              </w:rPr>
              <w:t>No post-earnings update; consensus tracking midpoint</w:t>
            </w:r>
          </w:p>
        </w:tc>
      </w:tr>
      <w:tr>
        <w:tc>
          <w:tcPr>
            <w:tcW w:type="dxa" w:w="1728"/>
          </w:tcPr>
          <w:p>
            <w:r>
              <w:rPr>
                <w:rFonts w:ascii="Calibri" w:hAnsi="Calibri"/>
                <w:sz w:val="22"/>
              </w:rPr>
              <w:t>Q1 FY27 AUR Growth</w:t>
            </w:r>
          </w:p>
        </w:tc>
        <w:tc>
          <w:tcPr>
            <w:tcW w:type="dxa" w:w="1728"/>
          </w:tcPr>
          <w:p>
            <w:r>
              <w:rPr>
                <w:rFonts w:ascii="Calibri" w:hAnsi="Calibri"/>
                <w:sz w:val="22"/>
              </w:rPr>
              <w:t>High single digits; contributions from all regions</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Normalizing from Q4’s +16%; management expects durable mid-single-digit AUR in FY27</w:t>
            </w:r>
          </w:p>
        </w:tc>
      </w:tr>
      <w:tr>
        <w:tc>
          <w:tcPr>
            <w:tcW w:type="dxa" w:w="1728"/>
          </w:tcPr>
          <w:p>
            <w:r>
              <w:rPr>
                <w:rFonts w:ascii="Calibri" w:hAnsi="Calibri"/>
                <w:sz w:val="22"/>
              </w:rPr>
              <w:t>FY27 Full-Year CC Revenue Growth</w:t>
            </w:r>
          </w:p>
        </w:tc>
        <w:tc>
          <w:tcPr>
            <w:tcW w:type="dxa" w:w="1728"/>
          </w:tcPr>
          <w:p>
            <w:r>
              <w:rPr>
                <w:rFonts w:ascii="Calibri" w:hAnsi="Calibri"/>
                <w:sz w:val="22"/>
              </w:rPr>
              <w:t>Mid-single digits (~4–5% on 52-wk basis); +1 pt from 53rd week</w:t>
            </w:r>
          </w:p>
        </w:tc>
        <w:tc>
          <w:tcPr>
            <w:tcW w:type="dxa" w:w="1728"/>
          </w:tcPr>
          <w:p>
            <w:r>
              <w:rPr>
                <w:rFonts w:ascii="Calibri" w:hAnsi="Calibri"/>
                <w:sz w:val="22"/>
              </w:rPr>
              <w:t>—</w:t>
            </w:r>
          </w:p>
        </w:tc>
        <w:tc>
          <w:tcPr>
            <w:tcW w:type="dxa" w:w="1728"/>
          </w:tcPr>
          <w:p>
            <w:r>
              <w:rPr>
                <w:rFonts w:ascii="Calibri" w:hAnsi="Calibri"/>
                <w:sz w:val="22"/>
              </w:rPr>
              <w:t>$8,631M total (~+7.5% reported)</w:t>
            </w:r>
          </w:p>
        </w:tc>
        <w:tc>
          <w:tcPr>
            <w:tcW w:type="dxa" w:w="1728"/>
          </w:tcPr>
          <w:p>
            <w:r>
              <w:rPr>
                <w:rFonts w:ascii="Calibri" w:hAnsi="Calibri"/>
                <w:sz w:val="22"/>
              </w:rPr>
              <w:t>No post-earnings update; consensus slightly above guidance midpoint, reflecting FX tailwind</w:t>
            </w:r>
          </w:p>
        </w:tc>
      </w:tr>
      <w:tr>
        <w:tc>
          <w:tcPr>
            <w:tcW w:type="dxa" w:w="1728"/>
          </w:tcPr>
          <w:p>
            <w:r>
              <w:rPr>
                <w:rFonts w:ascii="Calibri" w:hAnsi="Calibri"/>
                <w:sz w:val="22"/>
              </w:rPr>
              <w:t>FY27 Operating Margin Expansion</w:t>
            </w:r>
          </w:p>
        </w:tc>
        <w:tc>
          <w:tcPr>
            <w:tcW w:type="dxa" w:w="1728"/>
          </w:tcPr>
          <w:p>
            <w:r>
              <w:rPr>
                <w:rFonts w:ascii="Calibri" w:hAnsi="Calibri"/>
                <w:sz w:val="22"/>
              </w:rPr>
              <w:t>+40 to +60 bps CC; slight benefit from 53rd week</w:t>
            </w:r>
          </w:p>
        </w:tc>
        <w:tc>
          <w:tcPr>
            <w:tcW w:type="dxa" w:w="1728"/>
          </w:tcPr>
          <w:p>
            <w:r>
              <w:rPr>
                <w:rFonts w:ascii="Calibri" w:hAnsi="Calibri"/>
                <w:sz w:val="22"/>
              </w:rPr>
              <w:t>—</w:t>
            </w:r>
          </w:p>
        </w:tc>
        <w:tc>
          <w:tcPr>
            <w:tcW w:type="dxa" w:w="1728"/>
          </w:tcPr>
          <w:p>
            <w:r>
              <w:rPr>
                <w:rFonts w:ascii="Calibri" w:hAnsi="Calibri"/>
                <w:sz w:val="22"/>
              </w:rPr>
              <w:t>~+50 bps implied by consensus</w:t>
            </w:r>
          </w:p>
        </w:tc>
        <w:tc>
          <w:tcPr>
            <w:tcW w:type="dxa" w:w="1728"/>
          </w:tcPr>
          <w:p>
            <w:r>
              <w:rPr>
                <w:rFonts w:ascii="Calibri" w:hAnsi="Calibri"/>
                <w:sz w:val="22"/>
              </w:rPr>
              <w:t>No post-earnings update; consensus at midpoint</w:t>
            </w:r>
          </w:p>
        </w:tc>
      </w:tr>
      <w:tr>
        <w:tc>
          <w:tcPr>
            <w:tcW w:type="dxa" w:w="1728"/>
          </w:tcPr>
          <w:p>
            <w:r>
              <w:rPr>
                <w:rFonts w:ascii="Calibri" w:hAnsi="Calibri"/>
                <w:sz w:val="22"/>
              </w:rPr>
              <w:t>FY27 Gross Margin</w:t>
            </w:r>
          </w:p>
        </w:tc>
        <w:tc>
          <w:tcPr>
            <w:tcW w:type="dxa" w:w="1728"/>
          </w:tcPr>
          <w:p>
            <w:r>
              <w:rPr>
                <w:rFonts w:ascii="Calibri" w:hAnsi="Calibri"/>
                <w:sz w:val="22"/>
              </w:rPr>
              <w:t>Modest expansion; H1 stronger (10% tariff rate); H2 assumes tariff step-up</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Key risk: H2 tariff re-escalation if relief window expires; guidance does not assume tariff refunds</w:t>
            </w:r>
          </w:p>
        </w:tc>
      </w:tr>
      <w:tr>
        <w:tc>
          <w:tcPr>
            <w:tcW w:type="dxa" w:w="1728"/>
          </w:tcPr>
          <w:p>
            <w:r>
              <w:rPr>
                <w:rFonts w:ascii="Calibri" w:hAnsi="Calibri"/>
                <w:sz w:val="22"/>
              </w:rPr>
              <w:t>North America Revenue Growth</w:t>
            </w:r>
          </w:p>
        </w:tc>
        <w:tc>
          <w:tcPr>
            <w:tcW w:type="dxa" w:w="1728"/>
          </w:tcPr>
          <w:p>
            <w:r>
              <w:rPr>
                <w:rFonts w:ascii="Calibri" w:hAnsi="Calibri"/>
                <w:sz w:val="22"/>
              </w:rPr>
              <w:t>~Low single digits; DTC momentum + healthy wholesale sell-through</w:t>
            </w:r>
          </w:p>
        </w:tc>
        <w:tc>
          <w:tcPr>
            <w:tcW w:type="dxa" w:w="1728"/>
          </w:tcPr>
          <w:p>
            <w:r>
              <w:rPr>
                <w:rFonts w:ascii="Calibri" w:hAnsi="Calibri"/>
                <w:sz w:val="22"/>
              </w:rPr>
              <w:t>—</w:t>
            </w:r>
          </w:p>
        </w:tc>
        <w:tc>
          <w:tcPr>
            <w:tcW w:type="dxa" w:w="1728"/>
          </w:tcPr>
          <w:p>
            <w:r>
              <w:rPr>
                <w:rFonts w:ascii="Calibri" w:hAnsi="Calibri"/>
                <w:sz w:val="22"/>
              </w:rPr>
              <w:t>~+6.5% YoY Q1 (consensus)</w:t>
            </w:r>
          </w:p>
        </w:tc>
        <w:tc>
          <w:tcPr>
            <w:tcW w:type="dxa" w:w="1728"/>
          </w:tcPr>
          <w:p>
            <w:r>
              <w:rPr>
                <w:rFonts w:ascii="Calibri" w:hAnsi="Calibri"/>
                <w:sz w:val="22"/>
              </w:rPr>
              <w:t>Consensus slightly above guidance; wholesale weighted to H1</w:t>
            </w:r>
          </w:p>
        </w:tc>
      </w:tr>
      <w:tr>
        <w:tc>
          <w:tcPr>
            <w:tcW w:type="dxa" w:w="1728"/>
          </w:tcPr>
          <w:p>
            <w:r>
              <w:rPr>
                <w:rFonts w:ascii="Calibri" w:hAnsi="Calibri"/>
                <w:sz w:val="22"/>
              </w:rPr>
              <w:t>Europe Revenue Growth</w:t>
            </w:r>
          </w:p>
        </w:tc>
        <w:tc>
          <w:tcPr>
            <w:tcW w:type="dxa" w:w="1728"/>
          </w:tcPr>
          <w:p>
            <w:r>
              <w:rPr>
                <w:rFonts w:ascii="Calibri" w:hAnsi="Calibri"/>
                <w:sz w:val="22"/>
              </w:rPr>
              <w:t>~Low-to-mid single digits; measured approach given macro pressures, Middle East disruption, energy costs</w:t>
            </w:r>
          </w:p>
        </w:tc>
        <w:tc>
          <w:tcPr>
            <w:tcW w:type="dxa" w:w="1728"/>
          </w:tcPr>
          <w:p>
            <w:r>
              <w:rPr>
                <w:rFonts w:ascii="Calibri" w:hAnsi="Calibri"/>
                <w:sz w:val="22"/>
              </w:rPr>
              <w:t>—</w:t>
            </w:r>
          </w:p>
        </w:tc>
        <w:tc>
          <w:tcPr>
            <w:tcW w:type="dxa" w:w="1728"/>
          </w:tcPr>
          <w:p>
            <w:r>
              <w:rPr>
                <w:rFonts w:ascii="Calibri" w:hAnsi="Calibri"/>
                <w:sz w:val="22"/>
              </w:rPr>
              <w:t>~+6.7% YoY Q1 (consensus)</w:t>
            </w:r>
          </w:p>
        </w:tc>
        <w:tc>
          <w:tcPr>
            <w:tcW w:type="dxa" w:w="1728"/>
          </w:tcPr>
          <w:p>
            <w:r>
              <w:rPr>
                <w:rFonts w:ascii="Calibri" w:hAnsi="Calibri"/>
                <w:sz w:val="22"/>
              </w:rPr>
              <w:t>Consensus above guidance midpoint; key downside risk given peer commentary on EMEA softness</w:t>
            </w:r>
          </w:p>
        </w:tc>
      </w:tr>
      <w:tr>
        <w:tc>
          <w:tcPr>
            <w:tcW w:type="dxa" w:w="1728"/>
          </w:tcPr>
          <w:p>
            <w:r>
              <w:rPr>
                <w:rFonts w:ascii="Calibri" w:hAnsi="Calibri"/>
                <w:sz w:val="22"/>
              </w:rPr>
              <w:t>Asia Revenue Growth</w:t>
            </w:r>
          </w:p>
        </w:tc>
        <w:tc>
          <w:tcPr>
            <w:tcW w:type="dxa" w:w="1728"/>
          </w:tcPr>
          <w:p>
            <w:r>
              <w:rPr>
                <w:rFonts w:ascii="Calibri" w:hAnsi="Calibri"/>
                <w:sz w:val="22"/>
              </w:rPr>
              <w:t>~High single digits; China ~mid-teens; lapping +40% prior year</w:t>
            </w:r>
          </w:p>
        </w:tc>
        <w:tc>
          <w:tcPr>
            <w:tcW w:type="dxa" w:w="1728"/>
          </w:tcPr>
          <w:p>
            <w:r>
              <w:rPr>
                <w:rFonts w:ascii="Calibri" w:hAnsi="Calibri"/>
                <w:sz w:val="22"/>
              </w:rPr>
              <w:t>—</w:t>
            </w:r>
          </w:p>
        </w:tc>
        <w:tc>
          <w:tcPr>
            <w:tcW w:type="dxa" w:w="1728"/>
          </w:tcPr>
          <w:p>
            <w:r>
              <w:rPr>
                <w:rFonts w:ascii="Calibri" w:hAnsi="Calibri"/>
                <w:sz w:val="22"/>
              </w:rPr>
              <w:t>~+15.1% YoY Q1 (consensus)</w:t>
            </w:r>
          </w:p>
        </w:tc>
        <w:tc>
          <w:tcPr>
            <w:tcW w:type="dxa" w:w="1728"/>
          </w:tcPr>
          <w:p>
            <w:r>
              <w:rPr>
                <w:rFonts w:ascii="Calibri" w:hAnsi="Calibri"/>
                <w:sz w:val="22"/>
              </w:rPr>
              <w:t>Consensus above guidance; China momentum from GOOS and ZGN commentary is supportive</w:t>
            </w:r>
          </w:p>
        </w:tc>
      </w:tr>
      <w:tr>
        <w:tc>
          <w:tcPr>
            <w:tcW w:type="dxa" w:w="1728"/>
          </w:tcPr>
          <w:p>
            <w:r>
              <w:rPr>
                <w:rFonts w:ascii="Calibri" w:hAnsi="Calibri"/>
                <w:sz w:val="22"/>
              </w:rPr>
              <w:t>Marketing Spend</w:t>
            </w:r>
          </w:p>
        </w:tc>
        <w:tc>
          <w:tcPr>
            <w:tcW w:type="dxa" w:w="1728"/>
          </w:tcPr>
          <w:p>
            <w:r>
              <w:rPr>
                <w:rFonts w:ascii="Calibri" w:hAnsi="Calibri"/>
                <w:sz w:val="22"/>
              </w:rPr>
              <w:t>~8% of sales in FY27; growing above revenue rate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Consistent with FY26 exit rate of 7.9%; no ceiling stated</w:t>
            </w:r>
          </w:p>
        </w:tc>
      </w:tr>
      <w:tr>
        <w:tc>
          <w:tcPr>
            <w:tcW w:type="dxa" w:w="1728"/>
          </w:tcPr>
          <w:p>
            <w:r>
              <w:rPr>
                <w:rFonts w:ascii="Calibri" w:hAnsi="Calibri"/>
                <w:sz w:val="22"/>
              </w:rPr>
              <w:t>CapEx</w:t>
            </w:r>
          </w:p>
        </w:tc>
        <w:tc>
          <w:tcPr>
            <w:tcW w:type="dxa" w:w="1728"/>
          </w:tcPr>
          <w:p>
            <w:r>
              <w:rPr>
                <w:rFonts w:ascii="Calibri" w:hAnsi="Calibri"/>
                <w:sz w:val="22"/>
              </w:rPr>
              <w:t>~4–5% of sales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Includes new stores, renovations, digital, AI/cloud transformation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May 21 print, with Q1 FY27 EPS consensus up ~2% and FY27 EPS up ~0.3% — </w:t>
      </w:r>
      <w:r>
        <w:rPr>
          <w:rFonts w:ascii="Calibri" w:hAnsi="Calibri"/>
          <w:b/>
          <w:color w:val="525866"/>
          <w:sz w:val="22"/>
        </w:rPr>
        <w:t>revisions are tracking guidance rather than diverging</w:t>
      </w:r>
      <w:r>
        <w:rPr>
          <w:rFonts w:ascii="Calibri" w:hAnsi="Calibri"/>
          <w:color w:val="525866"/>
          <w:sz w:val="22"/>
        </w:rPr>
        <w:t>, suggesting the street is not aggressively front-running the tariff tailwind or the 53rd-week benefit.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(May 26,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21,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Q1 FY27 ($M)</w:t>
            </w:r>
          </w:p>
        </w:tc>
        <w:tc>
          <w:tcPr>
            <w:tcW w:type="dxa" w:w="1080"/>
          </w:tcPr>
          <w:p>
            <w:r>
              <w:rPr>
                <w:rFonts w:ascii="Calibri" w:hAnsi="Calibri"/>
                <w:sz w:val="22"/>
              </w:rPr>
              <w:t>$1,853.1M</w:t>
            </w:r>
          </w:p>
        </w:tc>
        <w:tc>
          <w:tcPr>
            <w:tcW w:type="dxa" w:w="1080"/>
          </w:tcPr>
          <w:p>
            <w:r>
              <w:rPr>
                <w:rFonts w:ascii="Calibri" w:hAnsi="Calibri"/>
                <w:sz w:val="22"/>
              </w:rPr>
              <w:t>$1,868.7M</w:t>
            </w:r>
          </w:p>
        </w:tc>
        <w:tc>
          <w:tcPr>
            <w:tcW w:type="dxa" w:w="1080"/>
          </w:tcPr>
          <w:p>
            <w:r>
              <w:rPr>
                <w:rFonts w:ascii="Calibri" w:hAnsi="Calibri"/>
                <w:sz w:val="22"/>
              </w:rPr>
              <w:t>+0.8%</w:t>
            </w:r>
          </w:p>
        </w:tc>
        <w:tc>
          <w:tcPr>
            <w:tcW w:type="dxa" w:w="1080"/>
          </w:tcPr>
          <w:p>
            <w:r>
              <w:rPr>
                <w:rFonts w:ascii="Calibri" w:hAnsi="Calibri"/>
                <w:sz w:val="22"/>
              </w:rPr>
              <w:t>Mid-to-high single digit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Op. EPS — Q1 FY27 ($)</w:t>
            </w:r>
          </w:p>
        </w:tc>
        <w:tc>
          <w:tcPr>
            <w:tcW w:type="dxa" w:w="1080"/>
          </w:tcPr>
          <w:p>
            <w:r>
              <w:rPr>
                <w:rFonts w:ascii="Calibri" w:hAnsi="Calibri"/>
                <w:sz w:val="22"/>
              </w:rPr>
              <w:t>$4.24</w:t>
            </w:r>
          </w:p>
        </w:tc>
        <w:tc>
          <w:tcPr>
            <w:tcW w:type="dxa" w:w="1080"/>
          </w:tcPr>
          <w:p>
            <w:r>
              <w:rPr>
                <w:rFonts w:ascii="Calibri" w:hAnsi="Calibri"/>
                <w:sz w:val="22"/>
              </w:rPr>
              <w:t>$4.32</w:t>
            </w:r>
          </w:p>
        </w:tc>
        <w:tc>
          <w:tcPr>
            <w:tcW w:type="dxa" w:w="1080"/>
          </w:tcPr>
          <w:p>
            <w:r>
              <w:rPr>
                <w:rFonts w:ascii="Calibri" w:hAnsi="Calibri"/>
                <w:b/>
                <w:color w:val="30A46C"/>
                <w:sz w:val="22"/>
              </w:rPr>
              <w:t>+2.0%</w:t>
            </w:r>
          </w:p>
        </w:tc>
        <w:tc>
          <w:tcPr>
            <w:tcW w:type="dxa" w:w="1080"/>
          </w:tcPr>
          <w:p>
            <w:r>
              <w:rPr>
                <w:rFonts w:ascii="Calibri" w:hAnsi="Calibri"/>
                <w:sz w:val="22"/>
              </w:rPr>
              <w:t>No explicit EPS guide; implied by margin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 Q1 FY27 ($M)</w:t>
            </w:r>
          </w:p>
        </w:tc>
        <w:tc>
          <w:tcPr>
            <w:tcW w:type="dxa" w:w="1080"/>
          </w:tcPr>
          <w:p>
            <w:r>
              <w:rPr>
                <w:rFonts w:ascii="Calibri" w:hAnsi="Calibri"/>
                <w:sz w:val="22"/>
              </w:rPr>
              <w:t>$335.5M</w:t>
            </w:r>
          </w:p>
        </w:tc>
        <w:tc>
          <w:tcPr>
            <w:tcW w:type="dxa" w:w="1080"/>
          </w:tcPr>
          <w:p>
            <w:r>
              <w:rPr>
                <w:rFonts w:ascii="Calibri" w:hAnsi="Calibri"/>
                <w:sz w:val="22"/>
              </w:rPr>
              <w:t>$342.8M</w:t>
            </w:r>
          </w:p>
        </w:tc>
        <w:tc>
          <w:tcPr>
            <w:tcW w:type="dxa" w:w="1080"/>
          </w:tcPr>
          <w:p>
            <w:r>
              <w:rPr>
                <w:rFonts w:ascii="Calibri" w:hAnsi="Calibri"/>
                <w:b/>
                <w:color w:val="30A46C"/>
                <w:sz w:val="22"/>
              </w:rPr>
              <w:t>+2.2%</w:t>
            </w:r>
          </w:p>
        </w:tc>
        <w:tc>
          <w:tcPr>
            <w:tcW w:type="dxa" w:w="1080"/>
          </w:tcPr>
          <w:p>
            <w:r>
              <w:rPr>
                <w:rFonts w:ascii="Calibri" w:hAnsi="Calibri"/>
                <w:sz w:val="22"/>
              </w:rPr>
              <w:t>+80 to +120 bps CC op. margin expansion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Gross Profit — Q1 FY27 ($M)</w:t>
            </w:r>
          </w:p>
        </w:tc>
        <w:tc>
          <w:tcPr>
            <w:tcW w:type="dxa" w:w="1080"/>
          </w:tcPr>
          <w:p>
            <w:r>
              <w:rPr>
                <w:rFonts w:ascii="Calibri" w:hAnsi="Calibri"/>
                <w:sz w:val="22"/>
              </w:rPr>
              <w:t>$1,350.1M</w:t>
            </w:r>
          </w:p>
        </w:tc>
        <w:tc>
          <w:tcPr>
            <w:tcW w:type="dxa" w:w="1080"/>
          </w:tcPr>
          <w:p>
            <w:r>
              <w:rPr>
                <w:rFonts w:ascii="Calibri" w:hAnsi="Calibri"/>
                <w:sz w:val="22"/>
              </w:rPr>
              <w:t>$1,369.7M</w:t>
            </w:r>
          </w:p>
        </w:tc>
        <w:tc>
          <w:tcPr>
            <w:tcW w:type="dxa" w:w="1080"/>
          </w:tcPr>
          <w:p>
            <w:r>
              <w:rPr>
                <w:rFonts w:ascii="Calibri" w:hAnsi="Calibri"/>
                <w:b/>
                <w:color w:val="30A46C"/>
                <w:sz w:val="22"/>
              </w:rPr>
              <w:t>+1.5%</w:t>
            </w:r>
          </w:p>
        </w:tc>
        <w:tc>
          <w:tcPr>
            <w:tcW w:type="dxa" w:w="1080"/>
          </w:tcPr>
          <w:p>
            <w:r>
              <w:rPr>
                <w:rFonts w:ascii="Calibri" w:hAnsi="Calibri"/>
                <w:sz w:val="22"/>
              </w:rPr>
              <w:t>Modest expansion; AUR + mix to offset tariff costs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Net Revenue — FY27 ($M)</w:t>
            </w:r>
          </w:p>
        </w:tc>
        <w:tc>
          <w:tcPr>
            <w:tcW w:type="dxa" w:w="1080"/>
          </w:tcPr>
          <w:p>
            <w:r>
              <w:rPr>
                <w:rFonts w:ascii="Calibri" w:hAnsi="Calibri"/>
                <w:sz w:val="22"/>
              </w:rPr>
              <w:t>$8,631.4M</w:t>
            </w:r>
          </w:p>
        </w:tc>
        <w:tc>
          <w:tcPr>
            <w:tcW w:type="dxa" w:w="1080"/>
          </w:tcPr>
          <w:p>
            <w:r>
              <w:rPr>
                <w:rFonts w:ascii="Calibri" w:hAnsi="Calibri"/>
                <w:sz w:val="22"/>
              </w:rPr>
              <w:t>$8,631.0M</w:t>
            </w:r>
          </w:p>
        </w:tc>
        <w:tc>
          <w:tcPr>
            <w:tcW w:type="dxa" w:w="1080"/>
          </w:tcPr>
          <w:p>
            <w:r>
              <w:rPr>
                <w:rFonts w:ascii="Calibri" w:hAnsi="Calibri"/>
                <w:sz w:val="22"/>
              </w:rPr>
              <w:t>~0.0%</w:t>
            </w:r>
          </w:p>
        </w:tc>
        <w:tc>
          <w:tcPr>
            <w:tcW w:type="dxa" w:w="1080"/>
          </w:tcPr>
          <w:p>
            <w:r>
              <w:rPr>
                <w:rFonts w:ascii="Calibri" w:hAnsi="Calibri"/>
                <w:sz w:val="22"/>
              </w:rPr>
              <w:t>Mid-single digit CC growth + ~1 pt from 53rd week</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 slight premium</w:t>
            </w:r>
          </w:p>
        </w:tc>
      </w:tr>
      <w:tr>
        <w:tc>
          <w:tcPr>
            <w:tcW w:type="dxa" w:w="1080"/>
          </w:tcPr>
          <w:p>
            <w:r>
              <w:rPr>
                <w:rFonts w:ascii="Calibri" w:hAnsi="Calibri"/>
                <w:sz w:val="22"/>
              </w:rPr>
              <w:t>Op. EPS — FY27 ($)</w:t>
            </w:r>
          </w:p>
        </w:tc>
        <w:tc>
          <w:tcPr>
            <w:tcW w:type="dxa" w:w="1080"/>
          </w:tcPr>
          <w:p>
            <w:r>
              <w:rPr>
                <w:rFonts w:ascii="Calibri" w:hAnsi="Calibri"/>
                <w:sz w:val="22"/>
              </w:rPr>
              <w:t>$18.44</w:t>
            </w:r>
          </w:p>
        </w:tc>
        <w:tc>
          <w:tcPr>
            <w:tcW w:type="dxa" w:w="1080"/>
          </w:tcPr>
          <w:p>
            <w:r>
              <w:rPr>
                <w:rFonts w:ascii="Calibri" w:hAnsi="Calibri"/>
                <w:sz w:val="22"/>
              </w:rPr>
              <w:t>$18.50</w:t>
            </w:r>
          </w:p>
        </w:tc>
        <w:tc>
          <w:tcPr>
            <w:tcW w:type="dxa" w:w="1080"/>
          </w:tcPr>
          <w:p>
            <w:r>
              <w:rPr>
                <w:rFonts w:ascii="Calibri" w:hAnsi="Calibri"/>
                <w:sz w:val="22"/>
              </w:rPr>
              <w:t>+0.3%</w:t>
            </w:r>
          </w:p>
        </w:tc>
        <w:tc>
          <w:tcPr>
            <w:tcW w:type="dxa" w:w="1080"/>
          </w:tcPr>
          <w:p>
            <w:r>
              <w:rPr>
                <w:rFonts w:ascii="Calibri" w:hAnsi="Calibri"/>
                <w:sz w:val="22"/>
              </w:rPr>
              <w:t>No explicit EPS guide; implied by margin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 FY27 ($M)</w:t>
            </w:r>
          </w:p>
        </w:tc>
        <w:tc>
          <w:tcPr>
            <w:tcW w:type="dxa" w:w="1080"/>
          </w:tcPr>
          <w:p>
            <w:r>
              <w:rPr>
                <w:rFonts w:ascii="Calibri" w:hAnsi="Calibri"/>
                <w:sz w:val="22"/>
              </w:rPr>
              <w:t>$1,436.7M</w:t>
            </w:r>
          </w:p>
        </w:tc>
        <w:tc>
          <w:tcPr>
            <w:tcW w:type="dxa" w:w="1080"/>
          </w:tcPr>
          <w:p>
            <w:r>
              <w:rPr>
                <w:rFonts w:ascii="Calibri" w:hAnsi="Calibri"/>
                <w:sz w:val="22"/>
              </w:rPr>
              <w:t>$1,441.2M</w:t>
            </w:r>
          </w:p>
        </w:tc>
        <w:tc>
          <w:tcPr>
            <w:tcW w:type="dxa" w:w="1080"/>
          </w:tcPr>
          <w:p>
            <w:r>
              <w:rPr>
                <w:rFonts w:ascii="Calibri" w:hAnsi="Calibri"/>
                <w:sz w:val="22"/>
              </w:rPr>
              <w:t>+0.3%</w:t>
            </w:r>
          </w:p>
        </w:tc>
        <w:tc>
          <w:tcPr>
            <w:tcW w:type="dxa" w:w="1080"/>
          </w:tcPr>
          <w:p>
            <w:r>
              <w:rPr>
                <w:rFonts w:ascii="Calibri" w:hAnsi="Calibri"/>
                <w:sz w:val="22"/>
              </w:rPr>
              <w:t>+40 to +60 bps CC op. margin expansion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bl>
    <w:p>
      <w:r>
        <w:rPr>
          <w:rFonts w:ascii="Calibri" w:hAnsi="Calibri"/>
          <w:i/>
          <w:color w:val="525866"/>
          <w:sz w:val="22"/>
        </w:rPr>
        <w:t>Source: Visible Alpha Consensus and Actuals Data. Baseline as of May 26, 2026 (5 trading days post Q4 FY26 earnings). Current as of August 5, 2026.</w:t>
      </w:r>
    </w:p>
    <w:p>
      <w:r>
        <w:rPr>
          <w:rFonts w:ascii="Calibri" w:hAnsi="Calibri"/>
          <w:color w:val="525866"/>
          <w:sz w:val="22"/>
        </w:rPr>
        <w:t>Revisions are modest and orderly — Q1 EPS estimates are up ~2% since the print, consistent with the market gradually pricing in the tariff tailwind at the 10% rate. FY27 estimates are essentially flat, suggesting the street is not yet building in upside from potential tariff refunds (which management explicitly excluded from guidance) or a stronger-than-expected consumer. The gap between consensus and guidance is narrow, leaving limited cushion if execution disappoints.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RL’s +16% gain since the May 21 earnings print has been driven by </w:t>
      </w:r>
      <w:r>
        <w:rPr>
          <w:rFonts w:ascii="Calibri" w:hAnsi="Calibri"/>
          <w:b/>
          <w:color w:val="525866"/>
          <w:sz w:val="22"/>
        </w:rPr>
        <w:t>multiple re-rating and estimate revisions</w:t>
      </w:r>
      <w:r>
        <w:rPr>
          <w:rFonts w:ascii="Calibri" w:hAnsi="Calibri"/>
          <w:color w:val="525866"/>
          <w:sz w:val="22"/>
        </w:rPr>
        <w:t xml:space="preserve"> following the Q4 beat, significantly outperforming XRT (flat) and SPY (+4%); the stock has since consolidated in the $370–$415 range, suggesting the initial re-rating is largely complete.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RL vs. XRT (Retail ETF) vs. S&amp;P 500 — Indexed to 100 at Q4 FY26 Earnings (May 21, 2026). Source: Stock Price Data.</w:t>
      </w:r>
    </w:p>
    <w:p>
      <w:r>
        <w:rPr>
          <w:rFonts w:ascii="Calibri" w:hAnsi="Calibri"/>
          <w:color w:val="525866"/>
          <w:sz w:val="22"/>
        </w:rPr>
        <w:t>RL surged ~14% on May 21 (from $329 to $375) on the Q4 FY26 beat, driven by gross margin expansion that defied the guided contraction and AUR growth of +16%. The stock continued to grind higher through mid-June, reaching a peak near $414 before pulling back. Since then, RL has traded in a $370–$415 range, consolidating the post-earnings gains. XRT has been broadly flat-to-slightly-positive over the same period, while SPY has recovered modestly. RL’s outperformance reflects both the earnings beat and the market’s confidence in the FY27 guidance aligning with Investor Day targets. At current levels (~$381), RL trades at approximately 20.6x NTM operating EPS — a premium to historical averages, leaving limited room for further multiple expansion absent an acceleration beyond already-elevated expectations.</w:t>
      </w:r>
    </w:p>
    <w:p>
      <w:r>
        <w:br w:type="page"/>
      </w:r>
    </w:p>
    <w:p>
      <w:pPr>
        <w:pStyle w:val="Heading2"/>
      </w:pPr>
      <w:r>
        <w:rPr>
          <w:rFonts w:ascii="Calibri" w:hAnsi="Calibri"/>
          <w:b/>
          <w:color w:val="3B4259"/>
          <w:sz w:val="28"/>
        </w:rPr>
        <w:t>6. Peer Commentaries — Read-Through (Last 60 Days, Current Quarter Relevant)</w:t>
      </w:r>
    </w:p>
    <w:p>
      <w:r>
        <w:rPr>
          <w:rFonts w:ascii="Calibri" w:hAnsi="Calibri"/>
          <w:b/>
          <w:color w:val="525866"/>
          <w:sz w:val="22"/>
        </w:rPr>
        <w:t xml:space="preserve">Key Takeaway: </w:t>
      </w:r>
      <w:r>
        <w:rPr>
          <w:rFonts w:ascii="Calibri" w:hAnsi="Calibri"/>
          <w:color w:val="525866"/>
          <w:sz w:val="22"/>
        </w:rPr>
        <w:t xml:space="preserve">Peer commentary since RL’s last earnings is broadly supportive for RL’s Q1 FY27 setup — </w:t>
      </w:r>
      <w:r>
        <w:rPr>
          <w:rFonts w:ascii="Calibri" w:hAnsi="Calibri"/>
          <w:b/>
          <w:color w:val="525866"/>
          <w:sz w:val="22"/>
        </w:rPr>
        <w:t>China/Asia momentum is strong across luxury and premium brands</w:t>
      </w:r>
      <w:r>
        <w:rPr>
          <w:rFonts w:ascii="Calibri" w:hAnsi="Calibri"/>
          <w:color w:val="525866"/>
          <w:sz w:val="22"/>
        </w:rPr>
        <w:t xml:space="preserve">, the North American consumer remains resilient, and AUR/full-price selling trends are healthy. The key risk read-through is </w:t>
      </w:r>
      <w:r>
        <w:rPr>
          <w:rFonts w:ascii="Calibri" w:hAnsi="Calibri"/>
          <w:b/>
          <w:color w:val="525866"/>
          <w:sz w:val="22"/>
        </w:rPr>
        <w:t>EMEA</w:t>
      </w:r>
      <w:r>
        <w:rPr>
          <w:rFonts w:ascii="Calibri" w:hAnsi="Calibri"/>
          <w:color w:val="525866"/>
          <w:sz w:val="22"/>
        </w:rPr>
        <w:t>, where multiple peers flagged softer store traffic, Middle East disruption, and macro headwinds that are consistent with RL’s own cautious guidance for the region.</w:t>
      </w:r>
    </w:p>
    <w:p>
      <w:r>
        <w:rPr>
          <w:rFonts w:ascii="Calibri" w:hAnsi="Calibri"/>
          <w:i/>
          <w:color w:val="525866"/>
          <w:sz w:val="22"/>
        </w:rPr>
        <w:t>Note: Only commentary from peers reporting their own current-period (Q1 FY27 or equivalent calendar Q1/Q2 2026) results or providing forward-looking commentary about the current operating environment is included below. Prior-quarter result discussions have been excluded.</w:t>
      </w:r>
    </w:p>
    <w:p>
      <w:pPr>
        <w:pStyle w:val="Heading3"/>
      </w:pPr>
      <w:r>
        <w:rPr>
          <w:rFonts w:ascii="Calibri" w:hAnsi="Calibri"/>
          <w:b/>
          <w:color w:val="3B4259"/>
          <w:sz w:val="24"/>
        </w:rPr>
        <w:t>Canada Goose (GOOS) — Q1 FY2027 Earnings Call, July 30, 2026</w:t>
      </w:r>
    </w:p>
    <w:p>
      <w:r>
        <w:rPr>
          <w:rFonts w:ascii="Calibri" w:hAnsi="Calibri"/>
          <w:i/>
          <w:color w:val="525866"/>
          <w:sz w:val="22"/>
        </w:rPr>
        <w:t>Relevance: GOOS is a premium lifestyle brand with significant DTC exposure and overlapping geographic footprint (North America, Europe, Asia). Its Q1 FY27 results (calendar Q1 2026) are the most directly comparable current-period read-through for RL.</w:t>
      </w:r>
    </w:p>
    <w:p>
      <w:pPr>
        <w:pStyle w:val="ListBullet"/>
        <w:ind w:left="360" w:hanging="360"/>
      </w:pPr>
      <w:r>
        <w:rPr>
          <w:rFonts w:ascii="Calibri" w:hAnsi="Calibri"/>
          <w:b/>
          <w:color w:val="525866"/>
          <w:sz w:val="22"/>
        </w:rPr>
        <w:t xml:space="preserve">China/Asia: </w:t>
      </w:r>
      <w:r>
        <w:rPr>
          <w:rFonts w:ascii="Calibri" w:hAnsi="Calibri"/>
          <w:color w:val="525866"/>
          <w:sz w:val="22"/>
        </w:rPr>
        <w:t xml:space="preserve">Asia Pacific revenue grew +35% YoY, led by mainland China with continued strength in e-commerce and improved conversion. Chinese consumers are shopping both domestically and in nearby Asian destinations (Korea, Hong Kong). Management expressed confidence in the Chinese consumer: “We’re feeling really good about the Chinese consumer both at home and when they travel.” </w:t>
      </w:r>
      <w:r>
        <w:rPr>
          <w:rFonts w:ascii="Calibri" w:hAnsi="Calibri"/>
          <w:b/>
          <w:color w:val="525866"/>
          <w:sz w:val="22"/>
        </w:rPr>
        <w:t>Read-through: Strongly positive for RL’s Asia segment and China mid-teens growth guidance.</w:t>
      </w:r>
    </w:p>
    <w:p>
      <w:pPr>
        <w:pStyle w:val="ListBullet"/>
        <w:ind w:left="360" w:hanging="360"/>
      </w:pPr>
      <w:r>
        <w:rPr>
          <w:rFonts w:ascii="Calibri" w:hAnsi="Calibri"/>
          <w:b/>
          <w:color w:val="525866"/>
          <w:sz w:val="22"/>
        </w:rPr>
        <w:t xml:space="preserve">EMEA: </w:t>
      </w:r>
      <w:r>
        <w:rPr>
          <w:rFonts w:ascii="Calibri" w:hAnsi="Calibri"/>
          <w:color w:val="525866"/>
          <w:sz w:val="22"/>
        </w:rPr>
        <w:t xml:space="preserve">EMEA revenue declined 7% YoY as softer store traffic — driven by a more challenging macro environment, lower international travel, and macro pressure in markets like the UK — offset wholesale and e-commerce strength. Management noted: “The operating environment itself is just more challenging. And I think that’s pretty consistent with what you’re hearing from other companies across the industry.” DTC comparable sales declined due to macro conditions. </w:t>
      </w:r>
      <w:r>
        <w:rPr>
          <w:rFonts w:ascii="Calibri" w:hAnsi="Calibri"/>
          <w:b/>
          <w:color w:val="525866"/>
          <w:sz w:val="22"/>
        </w:rPr>
        <w:t>Read-through: Negative for RL’s Europe segment; validates management’s cautious tone on EMEA.</w:t>
      </w:r>
    </w:p>
    <w:p>
      <w:pPr>
        <w:pStyle w:val="ListBullet"/>
        <w:ind w:left="360" w:hanging="360"/>
      </w:pPr>
      <w:r>
        <w:rPr>
          <w:rFonts w:ascii="Calibri" w:hAnsi="Calibri"/>
          <w:b/>
          <w:color w:val="525866"/>
          <w:sz w:val="22"/>
        </w:rPr>
        <w:t xml:space="preserve">North America: </w:t>
      </w:r>
      <w:r>
        <w:rPr>
          <w:rFonts w:ascii="Calibri" w:hAnsi="Calibri"/>
          <w:color w:val="525866"/>
          <w:sz w:val="22"/>
        </w:rPr>
        <w:t xml:space="preserve">North America revenue declined 6% YoY but achieved double-digit growth in both DTC and wholesale channels. Softer US store traffic was the primary drag. E-commerce was “extremely strong.” </w:t>
      </w:r>
      <w:r>
        <w:rPr>
          <w:rFonts w:ascii="Calibri" w:hAnsi="Calibri"/>
          <w:b/>
          <w:color w:val="525866"/>
          <w:sz w:val="22"/>
        </w:rPr>
        <w:t>Read-through: Mixed — DTC/e-commerce strength is positive for RL, but traffic softness in US stores is a watch item.</w:t>
      </w:r>
    </w:p>
    <w:p>
      <w:pPr>
        <w:pStyle w:val="ListBullet"/>
        <w:ind w:left="360" w:hanging="360"/>
      </w:pPr>
      <w:r>
        <w:rPr>
          <w:rFonts w:ascii="Calibri" w:hAnsi="Calibri"/>
          <w:b/>
          <w:color w:val="525866"/>
          <w:sz w:val="22"/>
        </w:rPr>
        <w:t xml:space="preserve">Pricing/AUR: </w:t>
      </w:r>
      <w:r>
        <w:rPr>
          <w:rFonts w:ascii="Calibri" w:hAnsi="Calibri"/>
          <w:color w:val="525866"/>
          <w:sz w:val="22"/>
        </w:rPr>
        <w:t xml:space="preserve">GOOS implemented a mid-single-digit price increase at the start of Q1 with no consumer resistance. Basket size is increasing, and conversion is up across all channels despite lower traffic. “When a brand is desired, there isn’t price resistance.” </w:t>
      </w:r>
      <w:r>
        <w:rPr>
          <w:rFonts w:ascii="Calibri" w:hAnsi="Calibri"/>
          <w:b/>
          <w:color w:val="525866"/>
          <w:sz w:val="22"/>
        </w:rPr>
        <w:t>Read-through: Positive for RL’s AUR growth thesis and high-single-digit Q1 AUR guidance.</w:t>
      </w:r>
    </w:p>
    <w:p>
      <w:pPr>
        <w:pStyle w:val="ListBullet"/>
        <w:ind w:left="360" w:hanging="360"/>
      </w:pPr>
      <w:r>
        <w:rPr>
          <w:rFonts w:ascii="Calibri" w:hAnsi="Calibri"/>
          <w:b/>
          <w:color w:val="525866"/>
          <w:sz w:val="22"/>
        </w:rPr>
        <w:t xml:space="preserve">Luxury consumer traffic: </w:t>
      </w:r>
      <w:r>
        <w:rPr>
          <w:rFonts w:ascii="Calibri" w:hAnsi="Calibri"/>
          <w:color w:val="525866"/>
          <w:sz w:val="22"/>
        </w:rPr>
        <w:t xml:space="preserve">Traffic pressures are “consistent with trends seen across the luxury retail industry” and “customer traffic is down everywhere.” However, conversion and basket size are improving, suggesting quality of demand is healthy even if volume is softer. </w:t>
      </w:r>
      <w:r>
        <w:rPr>
          <w:rFonts w:ascii="Calibri" w:hAnsi="Calibri"/>
          <w:b/>
          <w:color w:val="525866"/>
          <w:sz w:val="22"/>
        </w:rPr>
        <w:t>Read-through: Neutral-to-slightly-negative for RL’s store traffic, but positive for full-price selling discipline.</w:t>
      </w:r>
    </w:p>
    <w:p>
      <w:pPr>
        <w:pStyle w:val="ListBullet"/>
        <w:ind w:left="360" w:hanging="360"/>
      </w:pPr>
      <w:r>
        <w:rPr>
          <w:rFonts w:ascii="Calibri" w:hAnsi="Calibri"/>
          <w:b/>
          <w:color w:val="525866"/>
          <w:sz w:val="22"/>
        </w:rPr>
        <w:t xml:space="preserve">Tariff: </w:t>
      </w:r>
      <w:r>
        <w:rPr>
          <w:rFonts w:ascii="Calibri" w:hAnsi="Calibri"/>
          <w:color w:val="525866"/>
          <w:sz w:val="22"/>
        </w:rPr>
        <w:t xml:space="preserve">GOOS’s outlook assumes tariff environment consistent with FY26. A potential US-Canada tariff announcement (July 20) could impact &lt;200 bps of operating margin if implemented with no mitigation. </w:t>
      </w:r>
      <w:r>
        <w:rPr>
          <w:rFonts w:ascii="Calibri" w:hAnsi="Calibri"/>
          <w:b/>
          <w:color w:val="525866"/>
          <w:sz w:val="22"/>
        </w:rPr>
        <w:t>Read-through: Minimal direct read-through for RL (different supply chain), but highlights ongoing tariff uncertainty.</w:t>
      </w:r>
    </w:p>
    <w:p>
      <w:pPr>
        <w:pStyle w:val="Heading3"/>
      </w:pPr>
      <w:r>
        <w:rPr>
          <w:rFonts w:ascii="Calibri" w:hAnsi="Calibri"/>
          <w:b/>
          <w:color w:val="3B4259"/>
          <w:sz w:val="24"/>
        </w:rPr>
        <w:t>VF Corporation (VFC) — Q1 FY2027 Earnings Call, July 29, 2026</w:t>
      </w:r>
    </w:p>
    <w:p>
      <w:r>
        <w:rPr>
          <w:rFonts w:ascii="Calibri" w:hAnsi="Calibri"/>
          <w:i/>
          <w:color w:val="525866"/>
          <w:sz w:val="22"/>
        </w:rPr>
        <w:t>Relevance: VFC operates across North America, Europe, and Asia with significant wholesale and DTC exposure. Its Q1 FY27 results (calendar Q1 2026) provide a read-through on the North American and European consumer environment.</w:t>
      </w:r>
    </w:p>
    <w:p>
      <w:pPr>
        <w:pStyle w:val="ListBullet"/>
        <w:ind w:left="360" w:hanging="360"/>
      </w:pPr>
      <w:r>
        <w:rPr>
          <w:rFonts w:ascii="Calibri" w:hAnsi="Calibri"/>
          <w:b/>
          <w:color w:val="525866"/>
          <w:sz w:val="22"/>
        </w:rPr>
        <w:t xml:space="preserve">North America consumer: </w:t>
      </w:r>
      <w:r>
        <w:rPr>
          <w:rFonts w:ascii="Calibri" w:hAnsi="Calibri"/>
          <w:color w:val="525866"/>
          <w:sz w:val="22"/>
        </w:rPr>
        <w:t xml:space="preserve">Americas revenue grew +4% overall. DTC continues to outperform wholesale. Almost 60% of Vans’ comp stores are now flat-to-growing in Q1. E-commerce is seeing accelerated growth. Wholesale remains weaker but management expects improvement in H2 based on order book discussions with partners. </w:t>
      </w:r>
      <w:r>
        <w:rPr>
          <w:rFonts w:ascii="Calibri" w:hAnsi="Calibri"/>
          <w:b/>
          <w:color w:val="525866"/>
          <w:sz w:val="22"/>
        </w:rPr>
        <w:t>Read-through: Positive for RL’s North America DTC momentum; wholesale recovery trajectory is constructive.</w:t>
      </w:r>
    </w:p>
    <w:p>
      <w:pPr>
        <w:pStyle w:val="ListBullet"/>
        <w:ind w:left="360" w:hanging="360"/>
      </w:pPr>
      <w:r>
        <w:rPr>
          <w:rFonts w:ascii="Calibri" w:hAnsi="Calibri"/>
          <w:b/>
          <w:color w:val="525866"/>
          <w:sz w:val="22"/>
        </w:rPr>
        <w:t xml:space="preserve">EMEA: </w:t>
      </w:r>
      <w:r>
        <w:rPr>
          <w:rFonts w:ascii="Calibri" w:hAnsi="Calibri"/>
          <w:color w:val="525866"/>
          <w:sz w:val="22"/>
        </w:rPr>
        <w:t xml:space="preserve">EMEA was down 7% overall. DTC is outperforming wholesale by a wide margin, with e-commerce turning positive. Timberland’s growth was impacted by the Middle East conflict (~3 points impact in Q1). VFC noted EMEA is “behind the US from a timing standpoint” in terms of recovery. </w:t>
      </w:r>
      <w:r>
        <w:rPr>
          <w:rFonts w:ascii="Calibri" w:hAnsi="Calibri"/>
          <w:b/>
          <w:color w:val="525866"/>
          <w:sz w:val="22"/>
        </w:rPr>
        <w:t>Read-through: Negative for RL’s Europe segment; Middle East disruption is a real and quantifiable headwind.</w:t>
      </w:r>
    </w:p>
    <w:p>
      <w:pPr>
        <w:pStyle w:val="ListBullet"/>
        <w:ind w:left="360" w:hanging="360"/>
      </w:pPr>
      <w:r>
        <w:rPr>
          <w:rFonts w:ascii="Calibri" w:hAnsi="Calibri"/>
          <w:b/>
          <w:color w:val="525866"/>
          <w:sz w:val="22"/>
        </w:rPr>
        <w:t xml:space="preserve">China/APAC: </w:t>
      </w:r>
      <w:r>
        <w:rPr>
          <w:rFonts w:ascii="Calibri" w:hAnsi="Calibri"/>
          <w:color w:val="525866"/>
          <w:sz w:val="22"/>
        </w:rPr>
        <w:t xml:space="preserve">APAC has been “more muted than historically expected” and VFC expects this to continue for “a year or two.” The North Face has been relatively flat in the region. VFC cited insufficient innovation in APAC given strong local competition. </w:t>
      </w:r>
      <w:r>
        <w:rPr>
          <w:rFonts w:ascii="Calibri" w:hAnsi="Calibri"/>
          <w:b/>
          <w:color w:val="525866"/>
          <w:sz w:val="22"/>
        </w:rPr>
        <w:t>Read-through: Divergent from RL — VFC’s APAC weakness is brand-specific (Vans/TNF) and does not negate RL’s China momentum, which is driven by different brand positioning and luxury consumer dynamics.</w:t>
      </w:r>
    </w:p>
    <w:p>
      <w:pPr>
        <w:pStyle w:val="ListBullet"/>
        <w:ind w:left="360" w:hanging="360"/>
      </w:pPr>
      <w:r>
        <w:rPr>
          <w:rFonts w:ascii="Calibri" w:hAnsi="Calibri"/>
          <w:b/>
          <w:color w:val="525866"/>
          <w:sz w:val="22"/>
        </w:rPr>
        <w:t xml:space="preserve">Tariff: </w:t>
      </w:r>
      <w:r>
        <w:rPr>
          <w:rFonts w:ascii="Calibri" w:hAnsi="Calibri"/>
          <w:color w:val="525866"/>
          <w:sz w:val="22"/>
        </w:rPr>
        <w:t xml:space="preserve">No incremental tariff advantage or disadvantage in Q1 vs. prior year. Free cash flow benefited from ~$50M in tariff refunds. No P&amp;L impact from tariffs in Q1. </w:t>
      </w:r>
      <w:r>
        <w:rPr>
          <w:rFonts w:ascii="Calibri" w:hAnsi="Calibri"/>
          <w:b/>
          <w:color w:val="525866"/>
          <w:sz w:val="22"/>
        </w:rPr>
        <w:t>Read-through: Neutral for RL; confirms tariff refund dynamics are real but timing-dependent.</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VFC raised FY27 revenue guidance from +1–2% to “2% or better,” citing better-than-expected Q1 performance and improved visibility. Operating margin guidance maintained at ~8%. </w:t>
      </w:r>
      <w:r>
        <w:rPr>
          <w:rFonts w:ascii="Calibri" w:hAnsi="Calibri"/>
          <w:b/>
          <w:color w:val="525866"/>
          <w:sz w:val="22"/>
        </w:rPr>
        <w:t>Read-through: Positive sentiment signal for the broader apparel sector heading into Q1 reporting season.</w:t>
      </w:r>
    </w:p>
    <w:p>
      <w:pPr>
        <w:pStyle w:val="Heading3"/>
      </w:pPr>
      <w:r>
        <w:rPr>
          <w:rFonts w:ascii="Calibri" w:hAnsi="Calibri"/>
          <w:b/>
          <w:color w:val="3B4259"/>
          <w:sz w:val="24"/>
        </w:rPr>
        <w:t>Levi Strauss &amp; Co. (LEVI) — Q2 FY2026 Earnings Call, July 8, 2026</w:t>
      </w:r>
    </w:p>
    <w:p>
      <w:r>
        <w:rPr>
          <w:rFonts w:ascii="Calibri" w:hAnsi="Calibri"/>
          <w:i/>
          <w:color w:val="525866"/>
          <w:sz w:val="22"/>
        </w:rPr>
        <w:t>Relevance: LEVI’s fiscal Q2 2026 (March–May 2026) overlaps with RL’s Q1 FY27 (April–June 2026). LEVI provides a read-through on the North American consumer, DTC trends, AUR dynamics, and the European environment.</w:t>
      </w:r>
    </w:p>
    <w:p>
      <w:pPr>
        <w:pStyle w:val="ListBullet"/>
        <w:ind w:left="360" w:hanging="360"/>
      </w:pPr>
      <w:r>
        <w:rPr>
          <w:rFonts w:ascii="Calibri" w:hAnsi="Calibri"/>
          <w:b/>
          <w:color w:val="525866"/>
          <w:sz w:val="22"/>
        </w:rPr>
        <w:t xml:space="preserve">Consumer resilience: </w:t>
      </w:r>
      <w:r>
        <w:rPr>
          <w:rFonts w:ascii="Calibri" w:hAnsi="Calibri"/>
          <w:color w:val="525866"/>
          <w:sz w:val="22"/>
        </w:rPr>
        <w:t xml:space="preserve">LEVI’s consumer is “proving to be quite resilient” across value, core, and premium segments. Demand is “really healthy” with two-thirds of growth driven by more units. The continued trend toward casualization is a “structural tailwind.” </w:t>
      </w:r>
      <w:r>
        <w:rPr>
          <w:rFonts w:ascii="Calibri" w:hAnsi="Calibri"/>
          <w:b/>
          <w:color w:val="525866"/>
          <w:sz w:val="22"/>
        </w:rPr>
        <w:t>Read-through: Positive for RL’s North America consumer backdrop.</w:t>
      </w:r>
    </w:p>
    <w:p>
      <w:pPr>
        <w:pStyle w:val="ListBullet"/>
        <w:ind w:left="360" w:hanging="360"/>
      </w:pPr>
      <w:r>
        <w:rPr>
          <w:rFonts w:ascii="Calibri" w:hAnsi="Calibri"/>
          <w:b/>
          <w:color w:val="525866"/>
          <w:sz w:val="22"/>
        </w:rPr>
        <w:t xml:space="preserve">AUR/full-price selling: </w:t>
      </w:r>
      <w:r>
        <w:rPr>
          <w:rFonts w:ascii="Calibri" w:hAnsi="Calibri"/>
          <w:color w:val="525866"/>
          <w:sz w:val="22"/>
        </w:rPr>
        <w:t xml:space="preserve">AUR was up in Q2, contributing one-third of growth. Drivers include higher mix of full-price selling, DTC growth, and premium product expansion (Blue Tab up 40% in Q2). E-commerce growth fueled by reduced promotional activity. </w:t>
      </w:r>
      <w:r>
        <w:rPr>
          <w:rFonts w:ascii="Calibri" w:hAnsi="Calibri"/>
          <w:b/>
          <w:color w:val="525866"/>
          <w:sz w:val="22"/>
        </w:rPr>
        <w:t>Read-through: Strongly positive for RL’s AUR growth thesis and full-price selling discipline.</w:t>
      </w:r>
    </w:p>
    <w:p>
      <w:pPr>
        <w:pStyle w:val="ListBullet"/>
        <w:ind w:left="360" w:hanging="360"/>
      </w:pPr>
      <w:r>
        <w:rPr>
          <w:rFonts w:ascii="Calibri" w:hAnsi="Calibri"/>
          <w:b/>
          <w:color w:val="525866"/>
          <w:sz w:val="22"/>
        </w:rPr>
        <w:t xml:space="preserve">North America wholesale: </w:t>
      </w:r>
      <w:r>
        <w:rPr>
          <w:rFonts w:ascii="Calibri" w:hAnsi="Calibri"/>
          <w:color w:val="525866"/>
          <w:sz w:val="22"/>
        </w:rPr>
        <w:t xml:space="preserve">US wholesale grew, led by women’s. Sell-out trends across the US wholesale channel remain healthy. Americas delivered +7% growth overall. </w:t>
      </w:r>
      <w:r>
        <w:rPr>
          <w:rFonts w:ascii="Calibri" w:hAnsi="Calibri"/>
          <w:b/>
          <w:color w:val="525866"/>
          <w:sz w:val="22"/>
        </w:rPr>
        <w:t>Read-through: Positive for RL’s North America wholesale channel.</w:t>
      </w:r>
    </w:p>
    <w:p>
      <w:pPr>
        <w:pStyle w:val="ListBullet"/>
        <w:ind w:left="360" w:hanging="360"/>
      </w:pPr>
      <w:r>
        <w:rPr>
          <w:rFonts w:ascii="Calibri" w:hAnsi="Calibri"/>
          <w:b/>
          <w:color w:val="525866"/>
          <w:sz w:val="22"/>
        </w:rPr>
        <w:t xml:space="preserve">Europe: </w:t>
      </w:r>
      <w:r>
        <w:rPr>
          <w:rFonts w:ascii="Calibri" w:hAnsi="Calibri"/>
          <w:color w:val="525866"/>
          <w:sz w:val="22"/>
        </w:rPr>
        <w:t xml:space="preserve">Europe revenue declined 1% in Q2 due to a distribution center transition (one-time), but underlying trends are healthy with DTC up 7% and strength in Germany and UK. High single-digit wholesale preorder growth for H2. Europe operating margin expanded nearly 400 bps. </w:t>
      </w:r>
      <w:r>
        <w:rPr>
          <w:rFonts w:ascii="Calibri" w:hAnsi="Calibri"/>
          <w:b/>
          <w:color w:val="525866"/>
          <w:sz w:val="22"/>
        </w:rPr>
        <w:t>Read-through: Cautiously positive for RL’s Europe — underlying demand is healthy but the macro backdrop remains mixed.</w:t>
      </w:r>
    </w:p>
    <w:p>
      <w:pPr>
        <w:pStyle w:val="ListBullet"/>
        <w:ind w:left="360" w:hanging="360"/>
      </w:pPr>
      <w:r>
        <w:rPr>
          <w:rFonts w:ascii="Calibri" w:hAnsi="Calibri"/>
          <w:b/>
          <w:color w:val="525866"/>
          <w:sz w:val="22"/>
        </w:rPr>
        <w:t xml:space="preserve">China: </w:t>
      </w:r>
      <w:r>
        <w:rPr>
          <w:rFonts w:ascii="Calibri" w:hAnsi="Calibri"/>
          <w:color w:val="525866"/>
          <w:sz w:val="22"/>
        </w:rPr>
        <w:t xml:space="preserve">LEVI is “beginning to see signs of progress” in China with new leadership and improved execution. “Encouraged by a return to growth and improving underlying trends.” </w:t>
      </w:r>
      <w:r>
        <w:rPr>
          <w:rFonts w:ascii="Calibri" w:hAnsi="Calibri"/>
          <w:b/>
          <w:color w:val="525866"/>
          <w:sz w:val="22"/>
        </w:rPr>
        <w:t>Read-through: Positive directional signal for China consumer recovery, though LEVI’s China exposure is much smaller than RL’s.</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LEVI raised full-year revenue guidance to +7–7.5% reported and +5.5–6% organic, and raised adjusted diluted EPS by $0.04. Gross margin expected to expand ~10 bps for the full year. </w:t>
      </w:r>
      <w:r>
        <w:rPr>
          <w:rFonts w:ascii="Calibri" w:hAnsi="Calibri"/>
          <w:b/>
          <w:color w:val="525866"/>
          <w:sz w:val="22"/>
        </w:rPr>
        <w:t>Read-through: Positive sector sentiment; premium/lifestyle brands with strong DTC are executing well.</w:t>
      </w:r>
    </w:p>
    <w:p>
      <w:pPr>
        <w:pStyle w:val="ListBullet"/>
        <w:ind w:left="360" w:hanging="360"/>
      </w:pPr>
      <w:r>
        <w:rPr>
          <w:rFonts w:ascii="Calibri" w:hAnsi="Calibri"/>
          <w:b/>
          <w:color w:val="525866"/>
          <w:sz w:val="22"/>
        </w:rPr>
        <w:t xml:space="preserve">Tariff: </w:t>
      </w:r>
      <w:r>
        <w:rPr>
          <w:rFonts w:ascii="Calibri" w:hAnsi="Calibri"/>
          <w:color w:val="525866"/>
          <w:sz w:val="22"/>
        </w:rPr>
        <w:t xml:space="preserve">Guidance assumes 30% tariff on China imports and 20% on rest of world. Does not assume tariff refund benefit (~$80M paid to date). Gross margin expanded 10 bps in Q2 despite tariff headwinds, driven by lower product costs and pricing actions. </w:t>
      </w:r>
      <w:r>
        <w:rPr>
          <w:rFonts w:ascii="Calibri" w:hAnsi="Calibri"/>
          <w:b/>
          <w:color w:val="525866"/>
          <w:sz w:val="22"/>
        </w:rPr>
        <w:t>Read-through: Positive for RL — if LEVI can expand gross margin despite higher tariff assumptions, RL’s lower tariff rate (10%) should provide a cleaner tailwind.</w:t>
      </w:r>
    </w:p>
    <w:p>
      <w:pPr>
        <w:pStyle w:val="Heading3"/>
      </w:pPr>
      <w:r>
        <w:rPr>
          <w:rFonts w:ascii="Calibri" w:hAnsi="Calibri"/>
          <w:b/>
          <w:color w:val="3B4259"/>
          <w:sz w:val="24"/>
        </w:rPr>
        <w:t>Ermenegildo Zegna Group (ZGN) — Q2 2026 Sales &amp; Revenue Call, July 23, 2026</w:t>
      </w:r>
    </w:p>
    <w:p>
      <w:r>
        <w:rPr>
          <w:rFonts w:ascii="Calibri" w:hAnsi="Calibri"/>
          <w:i/>
          <w:color w:val="525866"/>
          <w:sz w:val="22"/>
        </w:rPr>
        <w:t>Relevance: ZGN is a luxury menswear brand with significant DTC exposure and overlapping geographic footprint. Its Q2 2026 (April–June 2026) results directly overlap with RL’s Q1 FY27 reporting period and provide the most relevant luxury consumer read-through.</w:t>
      </w:r>
    </w:p>
    <w:p>
      <w:pPr>
        <w:pStyle w:val="ListBullet"/>
        <w:ind w:left="360" w:hanging="360"/>
      </w:pPr>
      <w:r>
        <w:rPr>
          <w:rFonts w:ascii="Calibri" w:hAnsi="Calibri"/>
          <w:b/>
          <w:color w:val="525866"/>
          <w:sz w:val="22"/>
        </w:rPr>
        <w:t xml:space="preserve">Luxury consumer demand: </w:t>
      </w:r>
      <w:r>
        <w:rPr>
          <w:rFonts w:ascii="Calibri" w:hAnsi="Calibri"/>
          <w:color w:val="525866"/>
          <w:sz w:val="22"/>
        </w:rPr>
        <w:t xml:space="preserve">Group revenues reached €517M in Q2, up 11% with sequential acceleration. DTC accounted for 86% of branded revenue. “All the most elevated parts of our offerings are the ones that are being more credible in the eyes of the consumer.” New clients are often purchasing high-ticket items. </w:t>
      </w:r>
      <w:r>
        <w:rPr>
          <w:rFonts w:ascii="Calibri" w:hAnsi="Calibri"/>
          <w:b/>
          <w:color w:val="525866"/>
          <w:sz w:val="22"/>
        </w:rPr>
        <w:t>Read-through: Strongly positive for RL’s premium/luxury positioning and AUR growth.</w:t>
      </w:r>
    </w:p>
    <w:p>
      <w:pPr>
        <w:pStyle w:val="ListBullet"/>
        <w:ind w:left="360" w:hanging="360"/>
      </w:pPr>
      <w:r>
        <w:rPr>
          <w:rFonts w:ascii="Calibri" w:hAnsi="Calibri"/>
          <w:b/>
          <w:color w:val="525866"/>
          <w:sz w:val="22"/>
        </w:rPr>
        <w:t xml:space="preserve">China/Greater China: </w:t>
      </w:r>
      <w:r>
        <w:rPr>
          <w:rFonts w:ascii="Calibri" w:hAnsi="Calibri"/>
          <w:color w:val="525866"/>
          <w:sz w:val="22"/>
        </w:rPr>
        <w:t xml:space="preserve">Greater China (24% of H1 revenues) was up 9% organically in Q2, showing sequential acceleration vs. Q1. Chinese consumers spend ~90% locally, making domestic China performance the key metric. Management is “happy about comp results” but wants to be cautious given some volatility. </w:t>
      </w:r>
      <w:r>
        <w:rPr>
          <w:rFonts w:ascii="Calibri" w:hAnsi="Calibri"/>
          <w:b/>
          <w:color w:val="525866"/>
          <w:sz w:val="22"/>
        </w:rPr>
        <w:t>Read-through: Positive for RL’s China mid-teens growth guidance; luxury consumer in China is spending.</w:t>
      </w:r>
    </w:p>
    <w:p>
      <w:pPr>
        <w:pStyle w:val="ListBullet"/>
        <w:ind w:left="360" w:hanging="360"/>
      </w:pPr>
      <w:r>
        <w:rPr>
          <w:rFonts w:ascii="Calibri" w:hAnsi="Calibri"/>
          <w:b/>
          <w:color w:val="525866"/>
          <w:sz w:val="22"/>
        </w:rPr>
        <w:t xml:space="preserve">EMEA: </w:t>
      </w:r>
      <w:r>
        <w:rPr>
          <w:rFonts w:ascii="Calibri" w:hAnsi="Calibri"/>
          <w:color w:val="525866"/>
          <w:sz w:val="22"/>
        </w:rPr>
        <w:t xml:space="preserve">EMEA was up 2% organically in Q2, with DTC showing solid growth across all three brands. The Middle East turned positive in Q2 despite the ongoing conflict. However, management noted “some softer European trend in the first three weeks” of Q3 (July), potentially due to weather or the World Cup. </w:t>
      </w:r>
      <w:r>
        <w:rPr>
          <w:rFonts w:ascii="Calibri" w:hAnsi="Calibri"/>
          <w:b/>
          <w:color w:val="525866"/>
          <w:sz w:val="22"/>
        </w:rPr>
        <w:t>Read-through: Mixed for RL’s Europe — Q2 was better than feared, but early Q3 softness is a watch item.</w:t>
      </w:r>
    </w:p>
    <w:p>
      <w:pPr>
        <w:pStyle w:val="ListBullet"/>
        <w:ind w:left="360" w:hanging="360"/>
      </w:pPr>
      <w:r>
        <w:rPr>
          <w:rFonts w:ascii="Calibri" w:hAnsi="Calibri"/>
          <w:b/>
          <w:color w:val="525866"/>
          <w:sz w:val="22"/>
        </w:rPr>
        <w:t xml:space="preserve">AUR/pricing: </w:t>
      </w:r>
      <w:r>
        <w:rPr>
          <w:rFonts w:ascii="Calibri" w:hAnsi="Calibri"/>
          <w:color w:val="525866"/>
          <w:sz w:val="22"/>
        </w:rPr>
        <w:t xml:space="preserve">DTC growth is driven by Average Quantity per Receipt (AQR) — a mix effect rather than pure price increases. Make-to-measure (higher price point) is outperforming and targeting 15% of brand revenue. </w:t>
      </w:r>
      <w:r>
        <w:rPr>
          <w:rFonts w:ascii="Calibri" w:hAnsi="Calibri"/>
          <w:b/>
          <w:color w:val="525866"/>
          <w:sz w:val="22"/>
        </w:rPr>
        <w:t>Read-through: Positive for RL’s AUR thesis — luxury consumers are trading up and buying more per visit.</w:t>
      </w:r>
    </w:p>
    <w:p>
      <w:pPr>
        <w:pStyle w:val="ListBullet"/>
        <w:ind w:left="360" w:hanging="360"/>
      </w:pPr>
      <w:r>
        <w:rPr>
          <w:rFonts w:ascii="Calibri" w:hAnsi="Calibri"/>
          <w:b/>
          <w:color w:val="525866"/>
          <w:sz w:val="22"/>
        </w:rPr>
        <w:t xml:space="preserve">Q3 outlook: </w:t>
      </w:r>
      <w:r>
        <w:rPr>
          <w:rFonts w:ascii="Calibri" w:hAnsi="Calibri"/>
          <w:color w:val="525866"/>
          <w:sz w:val="22"/>
        </w:rPr>
        <w:t xml:space="preserve">Management is “confident that 2026 full-year consensus is reasonable.” Americas is “still very solid,” Middle East is “very well, recovering with resilience,” and Asia is “in line with GCR.” Only noted softness is in continental Europe in early Q3. </w:t>
      </w:r>
      <w:r>
        <w:rPr>
          <w:rFonts w:ascii="Calibri" w:hAnsi="Calibri"/>
          <w:b/>
          <w:color w:val="525866"/>
          <w:sz w:val="22"/>
        </w:rPr>
        <w:t>Read-through: Broadly positive for RL’s Q1 FY27 setup, with Europe the key watch item.</w:t>
      </w:r>
    </w:p>
    <w:p>
      <w:pPr>
        <w:pStyle w:val="Heading3"/>
      </w:pPr>
      <w:r>
        <w:rPr>
          <w:rFonts w:ascii="Calibri" w:hAnsi="Calibri"/>
          <w:b/>
          <w:color w:val="3B4259"/>
          <w:sz w:val="24"/>
        </w:rPr>
        <w:t>PVH Corp. (PVH) — Q1 FY2026 Earnings Call, June 4, 2026</w:t>
      </w:r>
    </w:p>
    <w:p>
      <w:r>
        <w:rPr>
          <w:rFonts w:ascii="Calibri" w:hAnsi="Calibri"/>
          <w:i/>
          <w:color w:val="525866"/>
          <w:sz w:val="22"/>
        </w:rPr>
        <w:t>Relevance: PVH (Calvin Klein, Tommy Hilfiger) operates in the premium apparel space with significant EMEA and APAC exposure. Its Q1 FY26 (February–April 2026) results provide a read-through on the European consumer and China dynamics heading into RL’s Q1 FY27.</w:t>
      </w:r>
    </w:p>
    <w:p>
      <w:pPr>
        <w:pStyle w:val="ListBullet"/>
        <w:ind w:left="360" w:hanging="360"/>
      </w:pPr>
      <w:r>
        <w:rPr>
          <w:rFonts w:ascii="Calibri" w:hAnsi="Calibri"/>
          <w:b/>
          <w:color w:val="525866"/>
          <w:sz w:val="22"/>
        </w:rPr>
        <w:t xml:space="preserve">EMEA — Middle East headwind: </w:t>
      </w:r>
      <w:r>
        <w:rPr>
          <w:rFonts w:ascii="Calibri" w:hAnsi="Calibri"/>
          <w:color w:val="525866"/>
          <w:sz w:val="22"/>
        </w:rPr>
        <w:t xml:space="preserve">PVH flagged an “increasingly challenging consumer and macroeconomic environment in EMEA, driven by the prolonged Middle East conflict.” Three channels of impact: (1) lower wholesale demand in direct Middle East business, (2) knock-on effect in Turkey from reduced tourism, and (3) broader macro effect on European consumer purchasing behavior from higher fuel costs. EMEA revenue declined mid-single digits in constant currency. </w:t>
      </w:r>
      <w:r>
        <w:rPr>
          <w:rFonts w:ascii="Calibri" w:hAnsi="Calibri"/>
          <w:b/>
          <w:color w:val="525866"/>
          <w:sz w:val="22"/>
        </w:rPr>
        <w:t>Read-through: Directly validates RL management’s cautious EMEA tone; Middle East disruption is a real and multi-channel headwind.</w:t>
      </w:r>
    </w:p>
    <w:p>
      <w:pPr>
        <w:pStyle w:val="ListBullet"/>
        <w:ind w:left="360" w:hanging="360"/>
      </w:pPr>
      <w:r>
        <w:rPr>
          <w:rFonts w:ascii="Calibri" w:hAnsi="Calibri"/>
          <w:b/>
          <w:color w:val="525866"/>
          <w:sz w:val="22"/>
        </w:rPr>
        <w:t xml:space="preserve">China/APAC: </w:t>
      </w:r>
      <w:r>
        <w:rPr>
          <w:rFonts w:ascii="Calibri" w:hAnsi="Calibri"/>
          <w:color w:val="525866"/>
          <w:sz w:val="22"/>
        </w:rPr>
        <w:t xml:space="preserve">PVH delivered strong high-single-digit constant currency growth in China, driven by double-digit DTC growth in stores and online. The Jung Kook for Calvin Klein collaboration saw 99% sell-through on Tmall. APAC consumer is “strengthening.” </w:t>
      </w:r>
      <w:r>
        <w:rPr>
          <w:rFonts w:ascii="Calibri" w:hAnsi="Calibri"/>
          <w:b/>
          <w:color w:val="525866"/>
          <w:sz w:val="22"/>
        </w:rPr>
        <w:t>Read-through: Positive for RL’s China mid-teens growth guidance; premium brands are gaining traction with Chinese consumers.</w:t>
      </w:r>
    </w:p>
    <w:p>
      <w:pPr>
        <w:pStyle w:val="ListBullet"/>
        <w:ind w:left="360" w:hanging="360"/>
      </w:pPr>
      <w:r>
        <w:rPr>
          <w:rFonts w:ascii="Calibri" w:hAnsi="Calibri"/>
          <w:b/>
          <w:color w:val="525866"/>
          <w:sz w:val="22"/>
        </w:rPr>
        <w:t xml:space="preserve">North America: </w:t>
      </w:r>
      <w:r>
        <w:rPr>
          <w:rFonts w:ascii="Calibri" w:hAnsi="Calibri"/>
          <w:color w:val="525866"/>
          <w:sz w:val="22"/>
        </w:rPr>
        <w:t xml:space="preserve">Americas revenue was down slightly overall, with DTC up low single digits (e-commerce up low double digits) offset by mid-single-digit wholesale decline due to H1/H2 timing shift. Sell-through with key partners was positive. Spring newness and seasonal categories outperformed in high single digits. </w:t>
      </w:r>
      <w:r>
        <w:rPr>
          <w:rFonts w:ascii="Calibri" w:hAnsi="Calibri"/>
          <w:b/>
          <w:color w:val="525866"/>
          <w:sz w:val="22"/>
        </w:rPr>
        <w:t>Read-through: Positive for RL’s North America DTC and wholesale sell-through; timing shift in wholesale is a sector-wide dynamic.</w:t>
      </w:r>
    </w:p>
    <w:p>
      <w:pPr>
        <w:pStyle w:val="ListBullet"/>
        <w:ind w:left="360" w:hanging="360"/>
      </w:pPr>
      <w:r>
        <w:rPr>
          <w:rFonts w:ascii="Calibri" w:hAnsi="Calibri"/>
          <w:b/>
          <w:color w:val="525866"/>
          <w:sz w:val="22"/>
        </w:rPr>
        <w:t xml:space="preserve">AUR: </w:t>
      </w:r>
      <w:r>
        <w:rPr>
          <w:rFonts w:ascii="Calibri" w:hAnsi="Calibri"/>
          <w:color w:val="525866"/>
          <w:sz w:val="22"/>
        </w:rPr>
        <w:t xml:space="preserve">Significant AUR gains in the high single digits in Americas DTC channels. </w:t>
      </w:r>
      <w:r>
        <w:rPr>
          <w:rFonts w:ascii="Calibri" w:hAnsi="Calibri"/>
          <w:b/>
          <w:color w:val="525866"/>
          <w:sz w:val="22"/>
        </w:rPr>
        <w:t>Read-through: Positive for RL’s AUR growth thesis.</w:t>
      </w:r>
    </w:p>
    <w:p>
      <w:pPr>
        <w:pStyle w:val="ListBullet"/>
        <w:ind w:left="360" w:hanging="360"/>
      </w:pPr>
      <w:r>
        <w:rPr>
          <w:rFonts w:ascii="Calibri" w:hAnsi="Calibri"/>
          <w:b/>
          <w:color w:val="525866"/>
          <w:sz w:val="22"/>
        </w:rPr>
        <w:t xml:space="preserve">Full-year guidance revised: </w:t>
      </w:r>
      <w:r>
        <w:rPr>
          <w:rFonts w:ascii="Calibri" w:hAnsi="Calibri"/>
          <w:color w:val="525866"/>
          <w:sz w:val="22"/>
        </w:rPr>
        <w:t xml:space="preserve">PVH lowered full-year revenue guidance to approximately flat (from slight increase) due to EMEA headwinds, while maintaining EBIT margin guidance at ~8.8% and EPS guidance of $11.80–$12.10. Tariff refund benefit of ~$100M added to gross margin guidance. </w:t>
      </w:r>
      <w:r>
        <w:rPr>
          <w:rFonts w:ascii="Calibri" w:hAnsi="Calibri"/>
          <w:b/>
          <w:color w:val="525866"/>
          <w:sz w:val="22"/>
        </w:rPr>
        <w:t>Read-through: EMEA weakness is the key risk for RL’s Europe segment; tariff refund dynamics are a potential upside not in RL’s guidance.</w:t>
      </w:r>
    </w:p>
    <w:p>
      <w:pPr>
        <w:pStyle w:val="Heading3"/>
      </w:pPr>
      <w:r>
        <w:rPr>
          <w:rFonts w:ascii="Calibri" w:hAnsi="Calibri"/>
          <w:b/>
          <w:color w:val="3B4259"/>
          <w:sz w:val="24"/>
        </w:rPr>
        <w:t>G-III Apparel Group (GIII) — Q1 FY2027 Earnings Call, June 5, 2026</w:t>
      </w:r>
    </w:p>
    <w:p>
      <w:r>
        <w:rPr>
          <w:rFonts w:ascii="Calibri" w:hAnsi="Calibri"/>
          <w:i/>
          <w:color w:val="525866"/>
          <w:sz w:val="22"/>
        </w:rPr>
        <w:t>Relevance: GIII operates in the premium/contemporary apparel space with significant North America wholesale exposure. Its Q1 FY27 (February–April 2026) results provide a read-through on North America wholesale and full-price selling trends.</w:t>
      </w:r>
    </w:p>
    <w:p>
      <w:pPr>
        <w:pStyle w:val="ListBullet"/>
        <w:ind w:left="360" w:hanging="360"/>
      </w:pPr>
      <w:r>
        <w:rPr>
          <w:rFonts w:ascii="Calibri" w:hAnsi="Calibri"/>
          <w:b/>
          <w:color w:val="525866"/>
          <w:sz w:val="22"/>
        </w:rPr>
        <w:t xml:space="preserve">North America consumer: </w:t>
      </w:r>
      <w:r>
        <w:rPr>
          <w:rFonts w:ascii="Calibri" w:hAnsi="Calibri"/>
          <w:color w:val="525866"/>
          <w:sz w:val="22"/>
        </w:rPr>
        <w:t xml:space="preserve">Despite a volatile macro backdrop, “the consumer seems to be quite positive on their shopping habits” in North America based on sell-throughs. Brands are gaining share. DTC sales increased close to 40% vs. prior year. </w:t>
      </w:r>
      <w:r>
        <w:rPr>
          <w:rFonts w:ascii="Calibri" w:hAnsi="Calibri"/>
          <w:b/>
          <w:color w:val="525866"/>
          <w:sz w:val="22"/>
        </w:rPr>
        <w:t>Read-through: Positive for RL’s North America consumer backdrop.</w:t>
      </w:r>
    </w:p>
    <w:p>
      <w:pPr>
        <w:pStyle w:val="ListBullet"/>
        <w:ind w:left="360" w:hanging="360"/>
      </w:pPr>
      <w:r>
        <w:rPr>
          <w:rFonts w:ascii="Calibri" w:hAnsi="Calibri"/>
          <w:b/>
          <w:color w:val="525866"/>
          <w:sz w:val="22"/>
        </w:rPr>
        <w:t xml:space="preserve">Full-price selling: </w:t>
      </w:r>
      <w:r>
        <w:rPr>
          <w:rFonts w:ascii="Calibri" w:hAnsi="Calibri"/>
          <w:color w:val="525866"/>
          <w:sz w:val="22"/>
        </w:rPr>
        <w:t xml:space="preserve">Quality of sales is strengthening due to a meaningful increase in full-price sales vs. prior year. Gross margin expanded 350 bps (ex-tariff benefit). </w:t>
      </w:r>
      <w:r>
        <w:rPr>
          <w:rFonts w:ascii="Calibri" w:hAnsi="Calibri"/>
          <w:b/>
          <w:color w:val="525866"/>
          <w:sz w:val="22"/>
        </w:rPr>
        <w:t>Read-through: Positive for RL’s full-price selling discipline and gross margin trajectory.</w:t>
      </w:r>
    </w:p>
    <w:p>
      <w:pPr>
        <w:pStyle w:val="ListBullet"/>
        <w:ind w:left="360" w:hanging="360"/>
      </w:pPr>
      <w:r>
        <w:rPr>
          <w:rFonts w:ascii="Calibri" w:hAnsi="Calibri"/>
          <w:b/>
          <w:color w:val="525866"/>
          <w:sz w:val="22"/>
        </w:rPr>
        <w:t xml:space="preserve">Europe: </w:t>
      </w:r>
      <w:r>
        <w:rPr>
          <w:rFonts w:ascii="Calibri" w:hAnsi="Calibri"/>
          <w:color w:val="525866"/>
          <w:sz w:val="22"/>
        </w:rPr>
        <w:t xml:space="preserve">Europe is “a little bit more cautious” with performance “a little less than we would like to see from the consumer’s point of view.” European market expected to “remain soft given ongoing pressure on consumer sentiment.” </w:t>
      </w:r>
      <w:r>
        <w:rPr>
          <w:rFonts w:ascii="Calibri" w:hAnsi="Calibri"/>
          <w:b/>
          <w:color w:val="525866"/>
          <w:sz w:val="22"/>
        </w:rPr>
        <w:t>Read-through: Consistent with RL’s cautious Europe guidance.</w:t>
      </w:r>
    </w:p>
    <w:p>
      <w:pPr>
        <w:pStyle w:val="ListBullet"/>
        <w:ind w:left="360" w:hanging="360"/>
      </w:pPr>
      <w:r>
        <w:rPr>
          <w:rFonts w:ascii="Calibri" w:hAnsi="Calibri"/>
          <w:b/>
          <w:color w:val="525866"/>
          <w:sz w:val="22"/>
        </w:rPr>
        <w:t xml:space="preserve">Tariff refund: </w:t>
      </w:r>
      <w:r>
        <w:rPr>
          <w:rFonts w:ascii="Calibri" w:hAnsi="Calibri"/>
          <w:color w:val="525866"/>
          <w:sz w:val="22"/>
        </w:rPr>
        <w:t xml:space="preserve">GIII recorded a $140M receivable for IEEPA tariff refunds and reduced COGS by ~$120M. Full-year gross margin guidance raised to ~400 bps expansion (from 300 bps). </w:t>
      </w:r>
      <w:r>
        <w:rPr>
          <w:rFonts w:ascii="Calibri" w:hAnsi="Calibri"/>
          <w:b/>
          <w:color w:val="525866"/>
          <w:sz w:val="22"/>
        </w:rPr>
        <w:t>Read-through: Highlights that tariff refunds are a potential upside for RL that is not in current guidance.</w:t>
      </w:r>
    </w:p>
    <w:p>
      <w:pPr>
        <w:pStyle w:val="Heading3"/>
      </w:pPr>
      <w:r>
        <w:rPr>
          <w:rFonts w:ascii="Calibri" w:hAnsi="Calibri"/>
          <w:b/>
          <w:color w:val="3B4259"/>
          <w:sz w:val="24"/>
        </w:rPr>
        <w:t>Oxford Industries (OXM) — Q1 FY2026 Earnings Call, June 10, 2026</w:t>
      </w:r>
    </w:p>
    <w:p>
      <w:r>
        <w:rPr>
          <w:rFonts w:ascii="Calibri" w:hAnsi="Calibri"/>
          <w:i/>
          <w:color w:val="525866"/>
          <w:sz w:val="22"/>
        </w:rPr>
        <w:t>Relevance: OXM (Tommy Bahama, Lilly Pulitzer) is a premium lifestyle brand with significant North America DTC exposure. Its Q1 FY26 (March–May 2026) results provide a read-through on the North American premium consumer.</w:t>
      </w:r>
    </w:p>
    <w:p>
      <w:pPr>
        <w:pStyle w:val="ListBullet"/>
        <w:ind w:left="360" w:hanging="360"/>
      </w:pPr>
      <w:r>
        <w:rPr>
          <w:rFonts w:ascii="Calibri" w:hAnsi="Calibri"/>
          <w:b/>
          <w:color w:val="525866"/>
          <w:sz w:val="22"/>
        </w:rPr>
        <w:t xml:space="preserve">Consumer caution: </w:t>
      </w:r>
      <w:r>
        <w:rPr>
          <w:rFonts w:ascii="Calibri" w:hAnsi="Calibri"/>
          <w:color w:val="525866"/>
          <w:sz w:val="22"/>
        </w:rPr>
        <w:t xml:space="preserve">OXM noted consumers are “more cautious, selective, and highly discerning” despite having the ability to spend. Sales trends softened through April and into May/early June. Consumers are paying higher prices (AUV up) but buying fewer units. </w:t>
      </w:r>
      <w:r>
        <w:rPr>
          <w:rFonts w:ascii="Calibri" w:hAnsi="Calibri"/>
          <w:b/>
          <w:color w:val="525866"/>
          <w:sz w:val="22"/>
        </w:rPr>
        <w:t>Read-through: Cautionary signal for RL’s North America volume trends, though RL’s brand positioning is stronger.</w:t>
      </w:r>
    </w:p>
    <w:p>
      <w:pPr>
        <w:pStyle w:val="ListBullet"/>
        <w:ind w:left="360" w:hanging="360"/>
      </w:pPr>
      <w:r>
        <w:rPr>
          <w:rFonts w:ascii="Calibri" w:hAnsi="Calibri"/>
          <w:b/>
          <w:color w:val="525866"/>
          <w:sz w:val="22"/>
        </w:rPr>
        <w:t xml:space="preserve">Wholesale: </w:t>
      </w:r>
      <w:r>
        <w:rPr>
          <w:rFonts w:ascii="Calibri" w:hAnsi="Calibri"/>
          <w:color w:val="525866"/>
          <w:sz w:val="22"/>
        </w:rPr>
        <w:t xml:space="preserve">Wholesale sales decreased 5% vs. prior year, better than original forecast. Retailers are “still being cautious” but no drastic change in order behavior. </w:t>
      </w:r>
      <w:r>
        <w:rPr>
          <w:rFonts w:ascii="Calibri" w:hAnsi="Calibri"/>
          <w:b/>
          <w:color w:val="525866"/>
          <w:sz w:val="22"/>
        </w:rPr>
        <w:t>Read-through: Neutral for RL’s North America wholesale; cautious retailer behavior is a sector-wide dynamic.</w:t>
      </w:r>
    </w:p>
    <w:p>
      <w:pPr>
        <w:pStyle w:val="ListBullet"/>
        <w:ind w:left="360" w:hanging="360"/>
      </w:pPr>
      <w:r>
        <w:rPr>
          <w:rFonts w:ascii="Calibri" w:hAnsi="Calibri"/>
          <w:b/>
          <w:color w:val="525866"/>
          <w:sz w:val="22"/>
        </w:rPr>
        <w:t xml:space="preserve">Tariff: </w:t>
      </w:r>
      <w:r>
        <w:rPr>
          <w:rFonts w:ascii="Calibri" w:hAnsi="Calibri"/>
          <w:color w:val="525866"/>
          <w:sz w:val="22"/>
        </w:rPr>
        <w:t xml:space="preserve">OXM absorbed $11M in incremental tariff costs in Q1, contracting gross margin 90 bps. Assumes 10% tariff rate for the remainder of the year. </w:t>
      </w:r>
      <w:r>
        <w:rPr>
          <w:rFonts w:ascii="Calibri" w:hAnsi="Calibri"/>
          <w:b/>
          <w:color w:val="525866"/>
          <w:sz w:val="22"/>
        </w:rPr>
        <w:t>Read-through: Confirms 10% tariff rate is the current operating assumption across the sector, consistent with RL’s guidance.</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Peer Signal</w:t>
            </w:r>
          </w:p>
        </w:tc>
        <w:tc>
          <w:tcPr>
            <w:tcW w:type="dxa" w:w="2880"/>
            <w:shd w:val="clear" w:color="auto" w:fill="3B4259"/>
          </w:tcPr>
          <w:p>
            <w:r>
              <w:rPr>
                <w:rFonts w:ascii="Calibri" w:hAnsi="Calibri"/>
                <w:b/>
                <w:color w:val="FFFFFF"/>
                <w:sz w:val="22"/>
              </w:rPr>
              <w:t>RL Read-Through</w:t>
            </w:r>
          </w:p>
        </w:tc>
      </w:tr>
      <w:tr>
        <w:tc>
          <w:tcPr>
            <w:tcW w:type="dxa" w:w="2880"/>
          </w:tcPr>
          <w:p>
            <w:r>
              <w:rPr>
                <w:rFonts w:ascii="Calibri" w:hAnsi="Calibri"/>
                <w:sz w:val="22"/>
              </w:rPr>
              <w:t>China/Asia consumer</w:t>
            </w:r>
          </w:p>
        </w:tc>
        <w:tc>
          <w:tcPr>
            <w:tcW w:type="dxa" w:w="2880"/>
          </w:tcPr>
          <w:p>
            <w:r>
              <w:rPr>
                <w:rFonts w:ascii="Calibri" w:hAnsi="Calibri"/>
                <w:sz w:val="22"/>
              </w:rPr>
              <w:t>GOOS +35% APAC; ZGN GCR +9% organic; PVH China high-single-digit CC growth</w:t>
            </w:r>
          </w:p>
        </w:tc>
        <w:tc>
          <w:tcPr>
            <w:tcW w:type="dxa" w:w="2880"/>
          </w:tcPr>
          <w:p>
            <w:r>
              <w:rPr>
                <w:rFonts w:ascii="Calibri" w:hAnsi="Calibri"/>
                <w:b/>
                <w:color w:val="30A46C"/>
                <w:sz w:val="22"/>
              </w:rPr>
              <w:t>Positive</w:t>
            </w:r>
            <w:r>
              <w:rPr>
                <w:rFonts w:ascii="Calibri" w:hAnsi="Calibri"/>
                <w:sz w:val="22"/>
              </w:rPr>
              <w:t xml:space="preserve"> — supports RL’s mid-teens China growth guidance</w:t>
            </w:r>
          </w:p>
        </w:tc>
      </w:tr>
      <w:tr>
        <w:tc>
          <w:tcPr>
            <w:tcW w:type="dxa" w:w="2880"/>
          </w:tcPr>
          <w:p>
            <w:r>
              <w:rPr>
                <w:rFonts w:ascii="Calibri" w:hAnsi="Calibri"/>
                <w:sz w:val="22"/>
              </w:rPr>
              <w:t>EMEA / Middle East</w:t>
            </w:r>
          </w:p>
        </w:tc>
        <w:tc>
          <w:tcPr>
            <w:tcW w:type="dxa" w:w="2880"/>
          </w:tcPr>
          <w:p>
            <w:r>
              <w:rPr>
                <w:rFonts w:ascii="Calibri" w:hAnsi="Calibri"/>
                <w:sz w:val="22"/>
              </w:rPr>
              <w:t>GOOS EMEA -7%; VFC EMEA -7%; PVH EMEA mid-single-digit CC decline; GIII Europe “cautious”</w:t>
            </w:r>
          </w:p>
        </w:tc>
        <w:tc>
          <w:tcPr>
            <w:tcW w:type="dxa" w:w="2880"/>
          </w:tcPr>
          <w:p>
            <w:r>
              <w:rPr>
                <w:rFonts w:ascii="Calibri" w:hAnsi="Calibri"/>
                <w:b/>
                <w:color w:val="E5484D"/>
                <w:sz w:val="22"/>
              </w:rPr>
              <w:t>Negative</w:t>
            </w:r>
            <w:r>
              <w:rPr>
                <w:rFonts w:ascii="Calibri" w:hAnsi="Calibri"/>
                <w:sz w:val="22"/>
              </w:rPr>
              <w:t xml:space="preserve"> — broad-based EMEA weakness; key downside risk for RL’s Europe segment</w:t>
            </w:r>
          </w:p>
        </w:tc>
      </w:tr>
      <w:tr>
        <w:tc>
          <w:tcPr>
            <w:tcW w:type="dxa" w:w="2880"/>
          </w:tcPr>
          <w:p>
            <w:r>
              <w:rPr>
                <w:rFonts w:ascii="Calibri" w:hAnsi="Calibri"/>
                <w:sz w:val="22"/>
              </w:rPr>
              <w:t>North America consumer</w:t>
            </w:r>
          </w:p>
        </w:tc>
        <w:tc>
          <w:tcPr>
            <w:tcW w:type="dxa" w:w="2880"/>
          </w:tcPr>
          <w:p>
            <w:r>
              <w:rPr>
                <w:rFonts w:ascii="Calibri" w:hAnsi="Calibri"/>
                <w:sz w:val="22"/>
              </w:rPr>
              <w:t>LEVI Americas +7%; GIII NA consumer “positive”; PVH Americas DTC positive; OXM cautious but stable</w:t>
            </w:r>
          </w:p>
        </w:tc>
        <w:tc>
          <w:tcPr>
            <w:tcW w:type="dxa" w:w="2880"/>
          </w:tcPr>
          <w:p>
            <w:r>
              <w:rPr>
                <w:rFonts w:ascii="Calibri" w:hAnsi="Calibri"/>
                <w:b/>
                <w:color w:val="30A46C"/>
                <w:sz w:val="22"/>
              </w:rPr>
              <w:t>Positive</w:t>
            </w:r>
            <w:r>
              <w:rPr>
                <w:rFonts w:ascii="Calibri" w:hAnsi="Calibri"/>
                <w:sz w:val="22"/>
              </w:rPr>
              <w:t xml:space="preserve"> — resilient NA consumer supports RL’s low-single-digit NA growth guidance</w:t>
            </w:r>
          </w:p>
        </w:tc>
      </w:tr>
      <w:tr>
        <w:tc>
          <w:tcPr>
            <w:tcW w:type="dxa" w:w="2880"/>
          </w:tcPr>
          <w:p>
            <w:r>
              <w:rPr>
                <w:rFonts w:ascii="Calibri" w:hAnsi="Calibri"/>
                <w:sz w:val="22"/>
              </w:rPr>
              <w:t>AUR / full-price selling</w:t>
            </w:r>
          </w:p>
        </w:tc>
        <w:tc>
          <w:tcPr>
            <w:tcW w:type="dxa" w:w="2880"/>
          </w:tcPr>
          <w:p>
            <w:r>
              <w:rPr>
                <w:rFonts w:ascii="Calibri" w:hAnsi="Calibri"/>
                <w:sz w:val="22"/>
              </w:rPr>
              <w:t>LEVI AUR up (1/3 of growth); GOOS pricing +mid-single-digit with no resistance; GIII full-price sales up meaningfully; PVH Americas AUR high-single-digit</w:t>
            </w:r>
          </w:p>
        </w:tc>
        <w:tc>
          <w:tcPr>
            <w:tcW w:type="dxa" w:w="2880"/>
          </w:tcPr>
          <w:p>
            <w:r>
              <w:rPr>
                <w:rFonts w:ascii="Calibri" w:hAnsi="Calibri"/>
                <w:b/>
                <w:color w:val="30A46C"/>
                <w:sz w:val="22"/>
              </w:rPr>
              <w:t>Positive</w:t>
            </w:r>
            <w:r>
              <w:rPr>
                <w:rFonts w:ascii="Calibri" w:hAnsi="Calibri"/>
                <w:sz w:val="22"/>
              </w:rPr>
              <w:t xml:space="preserve"> — validates RL’s high-single-digit AUR guidance for Q1 FY27</w:t>
            </w:r>
          </w:p>
        </w:tc>
      </w:tr>
      <w:tr>
        <w:tc>
          <w:tcPr>
            <w:tcW w:type="dxa" w:w="2880"/>
          </w:tcPr>
          <w:p>
            <w:r>
              <w:rPr>
                <w:rFonts w:ascii="Calibri" w:hAnsi="Calibri"/>
                <w:sz w:val="22"/>
              </w:rPr>
              <w:t>Luxury store traffic</w:t>
            </w:r>
          </w:p>
        </w:tc>
        <w:tc>
          <w:tcPr>
            <w:tcW w:type="dxa" w:w="2880"/>
          </w:tcPr>
          <w:p>
            <w:r>
              <w:rPr>
                <w:rFonts w:ascii="Calibri" w:hAnsi="Calibri"/>
                <w:sz w:val="22"/>
              </w:rPr>
              <w:t>GOOS: “traffic is down everywhere”; conversion and basket size improving</w:t>
            </w:r>
          </w:p>
        </w:tc>
        <w:tc>
          <w:tcPr>
            <w:tcW w:type="dxa" w:w="2880"/>
          </w:tcPr>
          <w:p>
            <w:r>
              <w:rPr>
                <w:rFonts w:ascii="Calibri" w:hAnsi="Calibri"/>
                <w:b/>
                <w:color w:val="002FA7"/>
                <w:sz w:val="22"/>
              </w:rPr>
              <w:t>Neutral</w:t>
            </w:r>
            <w:r>
              <w:rPr>
                <w:rFonts w:ascii="Calibri" w:hAnsi="Calibri"/>
                <w:sz w:val="22"/>
              </w:rPr>
              <w:t xml:space="preserve"> — traffic softness is industry-wide but quality of demand is healthy</w:t>
            </w:r>
          </w:p>
        </w:tc>
      </w:tr>
      <w:tr>
        <w:tc>
          <w:tcPr>
            <w:tcW w:type="dxa" w:w="2880"/>
          </w:tcPr>
          <w:p>
            <w:r>
              <w:rPr>
                <w:rFonts w:ascii="Calibri" w:hAnsi="Calibri"/>
                <w:sz w:val="22"/>
              </w:rPr>
              <w:t>Tariff environment</w:t>
            </w:r>
          </w:p>
        </w:tc>
        <w:tc>
          <w:tcPr>
            <w:tcW w:type="dxa" w:w="2880"/>
          </w:tcPr>
          <w:p>
            <w:r>
              <w:rPr>
                <w:rFonts w:ascii="Calibri" w:hAnsi="Calibri"/>
                <w:sz w:val="22"/>
              </w:rPr>
              <w:t>Sector-wide assumption of 10% tariff rate; GIII and PVH booking tariff refunds as upside</w:t>
            </w:r>
          </w:p>
        </w:tc>
        <w:tc>
          <w:tcPr>
            <w:tcW w:type="dxa" w:w="2880"/>
          </w:tcPr>
          <w:p>
            <w:r>
              <w:rPr>
                <w:rFonts w:ascii="Calibri" w:hAnsi="Calibri"/>
                <w:b/>
                <w:color w:val="30A46C"/>
                <w:sz w:val="22"/>
              </w:rPr>
              <w:t>Positive</w:t>
            </w:r>
            <w:r>
              <w:rPr>
                <w:rFonts w:ascii="Calibri" w:hAnsi="Calibri"/>
                <w:sz w:val="22"/>
              </w:rPr>
              <w:t xml:space="preserve"> — 10% rate is a tailwind vs. Q4 peak; refunds are potential upside not in RL’s guidance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No material company-specific negative developments since the May 21 earnings print; the most important development is the </w:t>
      </w:r>
      <w:r>
        <w:rPr>
          <w:rFonts w:ascii="Calibri" w:hAnsi="Calibri"/>
          <w:b/>
          <w:color w:val="525866"/>
          <w:sz w:val="22"/>
        </w:rPr>
        <w:t>luxury lifestyle market tailwind narrative</w:t>
      </w:r>
      <w:r>
        <w:rPr>
          <w:rFonts w:ascii="Calibri" w:hAnsi="Calibri"/>
          <w:color w:val="525866"/>
          <w:sz w:val="22"/>
        </w:rPr>
        <w:t xml:space="preserve"> and the annual shareholder meeting proceeding without incident, both supportive of the current setup.</w:t>
      </w:r>
    </w:p>
    <w:p>
      <w:pPr>
        <w:pStyle w:val="ListBullet"/>
        <w:ind w:left="360" w:hanging="360"/>
      </w:pPr>
      <w:r>
        <w:rPr>
          <w:rFonts w:ascii="Calibri" w:hAnsi="Calibri"/>
          <w:b/>
          <w:color w:val="525866"/>
          <w:sz w:val="22"/>
        </w:rPr>
        <w:t xml:space="preserve">July 31, 2026 — Annual Shareholder Meeting: </w:t>
      </w:r>
      <w:r>
        <w:rPr>
          <w:rFonts w:ascii="Calibri" w:hAnsi="Calibri"/>
          <w:color w:val="525866"/>
          <w:sz w:val="22"/>
        </w:rPr>
        <w:t xml:space="preserve">Ralph Lauren shareholders approved all proposals at the annual meeting. No activist pressure or contested votes. </w:t>
      </w:r>
    </w:p>
    <w:p>
      <w:pPr>
        <w:pStyle w:val="ListBullet"/>
        <w:ind w:left="360" w:hanging="360"/>
      </w:pPr>
      <w:r>
        <w:rPr>
          <w:rFonts w:ascii="Calibri" w:hAnsi="Calibri"/>
          <w:b/>
          <w:color w:val="525866"/>
          <w:sz w:val="22"/>
        </w:rPr>
        <w:t xml:space="preserve">July 28, 2026 — Luxury Lifestyle Market Tailwind: </w:t>
      </w:r>
      <w:r>
        <w:rPr>
          <w:rFonts w:ascii="Calibri" w:hAnsi="Calibri"/>
          <w:color w:val="525866"/>
          <w:sz w:val="22"/>
        </w:rPr>
        <w:t xml:space="preserve">A press release highlighted that the luxury lifestyle boom is accelerating, with premium fashion brands racing toward a $500 billion global economy. This macro narrative is directly supportive of RL’s brand elevation strategy and pricing power thesis. </w:t>
      </w:r>
    </w:p>
    <w:p>
      <w:pPr>
        <w:pStyle w:val="ListBullet"/>
        <w:ind w:left="360" w:hanging="360"/>
      </w:pPr>
      <w:r>
        <w:rPr>
          <w:rFonts w:ascii="Calibri" w:hAnsi="Calibri"/>
          <w:b/>
          <w:color w:val="525866"/>
          <w:sz w:val="22"/>
        </w:rPr>
        <w:t xml:space="preserve">July 30, 2026 — Canada Goose Q1 FY27 Results (Peer): </w:t>
      </w:r>
      <w:r>
        <w:rPr>
          <w:rFonts w:ascii="Calibri" w:hAnsi="Calibri"/>
          <w:color w:val="525866"/>
          <w:sz w:val="22"/>
        </w:rPr>
        <w:t>GOOS reported +9% revenue growth with +35% Asia Pacific growth and gross margin expansion of 100 bps. Positive read-through for RL’s Asia segment and AUR thesis. EMEA -7% is a cautionary signal for RL’s Europe segment.</w:t>
      </w:r>
    </w:p>
    <w:p>
      <w:pPr>
        <w:pStyle w:val="ListBullet"/>
        <w:ind w:left="360" w:hanging="360"/>
      </w:pPr>
      <w:r>
        <w:rPr>
          <w:rFonts w:ascii="Calibri" w:hAnsi="Calibri"/>
          <w:b/>
          <w:color w:val="525866"/>
          <w:sz w:val="22"/>
        </w:rPr>
        <w:t xml:space="preserve">July 29, 2026 — VF Corporation Q1 FY27 Results (Peer): </w:t>
      </w:r>
      <w:r>
        <w:rPr>
          <w:rFonts w:ascii="Calibri" w:hAnsi="Calibri"/>
          <w:color w:val="525866"/>
          <w:sz w:val="22"/>
        </w:rPr>
        <w:t>VFC reported revenue flat YoY (above guidance of down low-single-digits) and raised full-year guidance to “2% or better.” North America DTC positive; EMEA -7%. Positive sector sentiment signal.</w:t>
      </w:r>
    </w:p>
    <w:p>
      <w:pPr>
        <w:pStyle w:val="ListBullet"/>
        <w:ind w:left="360" w:hanging="360"/>
      </w:pPr>
      <w:r>
        <w:rPr>
          <w:rFonts w:ascii="Calibri" w:hAnsi="Calibri"/>
          <w:b/>
          <w:color w:val="525866"/>
          <w:sz w:val="22"/>
        </w:rPr>
        <w:t xml:space="preserve">July 23, 2026 — Zegna Q2 2026 Revenue Call (Peer): </w:t>
      </w:r>
      <w:r>
        <w:rPr>
          <w:rFonts w:ascii="Calibri" w:hAnsi="Calibri"/>
          <w:color w:val="525866"/>
          <w:sz w:val="22"/>
        </w:rPr>
        <w:t>ZGN reported +11% group revenue growth with sequential acceleration. Greater China +9% organic. DTC at 86% of branded revenue. Luxury consumer demand remains strong for elevated offerings. Positive read-through for RL’s luxury positioning.</w:t>
      </w:r>
    </w:p>
    <w:p>
      <w:pPr>
        <w:pStyle w:val="ListBullet"/>
        <w:ind w:left="360" w:hanging="360"/>
      </w:pPr>
      <w:r>
        <w:rPr>
          <w:rFonts w:ascii="Calibri" w:hAnsi="Calibri"/>
          <w:b/>
          <w:color w:val="525866"/>
          <w:sz w:val="22"/>
        </w:rPr>
        <w:t xml:space="preserve">July 8, 2026 — Levi Strauss Q2 FY26 Results (Peer): </w:t>
      </w:r>
      <w:r>
        <w:rPr>
          <w:rFonts w:ascii="Calibri" w:hAnsi="Calibri"/>
          <w:color w:val="525866"/>
          <w:sz w:val="22"/>
        </w:rPr>
        <w:t>LEVI reported strong Q2 with Americas +7%, raised full-year guidance, and noted resilient consumer across value, core, and premium segments. AUR up, full-price selling improving. Positive read-through for RL’s North America consumer backdrop.</w:t>
      </w:r>
    </w:p>
    <w:p>
      <w:pPr>
        <w:pStyle w:val="ListBullet"/>
        <w:ind w:left="360" w:hanging="360"/>
      </w:pPr>
      <w:r>
        <w:rPr>
          <w:rFonts w:ascii="Calibri" w:hAnsi="Calibri"/>
          <w:b/>
          <w:color w:val="525866"/>
          <w:sz w:val="22"/>
        </w:rPr>
        <w:t xml:space="preserve">June 4–5, 2026 — PVH Q1 FY26 &amp; GIII Q1 FY27 Results (Peers): </w:t>
      </w:r>
      <w:r>
        <w:rPr>
          <w:rFonts w:ascii="Calibri" w:hAnsi="Calibri"/>
          <w:color w:val="525866"/>
          <w:sz w:val="22"/>
        </w:rPr>
        <w:t>PVH flagged EMEA headwinds from Middle East conflict and lowered Europe guidance; China strong. GIII beat expectations with full-price selling strength and raised EPS guidance. Both confirm the EMEA risk and North America resilience narrative.</w:t>
      </w:r>
    </w:p>
    <w:p>
      <w:pPr>
        <w:pStyle w:val="ListBullet"/>
        <w:ind w:left="360" w:hanging="360"/>
      </w:pPr>
      <w:r>
        <w:rPr>
          <w:rFonts w:ascii="Calibri" w:hAnsi="Calibri"/>
          <w:b/>
          <w:color w:val="525866"/>
          <w:sz w:val="22"/>
        </w:rPr>
        <w:t xml:space="preserve">June 10, 2026 — Oxford Industries Q1 FY26 Results (Peer): </w:t>
      </w:r>
      <w:r>
        <w:rPr>
          <w:rFonts w:ascii="Calibri" w:hAnsi="Calibri"/>
          <w:color w:val="525866"/>
          <w:sz w:val="22"/>
        </w:rPr>
        <w:t>OXM noted cautious North America consumer with softer sales trends through April-May. Wholesale down 5%. Tariff headwind of $11M absorbed. Cautionary signal for RL’s North America volume, though RL’s brand positioning is stronger.</w:t>
      </w:r>
    </w:p>
    <w:p>
      <w:pPr>
        <w:pStyle w:val="ListBullet"/>
        <w:ind w:left="360" w:hanging="360"/>
      </w:pPr>
      <w:r>
        <w:rPr>
          <w:rFonts w:ascii="Calibri" w:hAnsi="Calibri"/>
          <w:b/>
          <w:color w:val="525866"/>
          <w:sz w:val="22"/>
        </w:rPr>
        <w:t xml:space="preserve">May 21, 2026 — RL Q4 FY26 Earnings Beat (Baseline): </w:t>
      </w:r>
      <w:r>
        <w:rPr>
          <w:rFonts w:ascii="Calibri" w:hAnsi="Calibri"/>
          <w:color w:val="525866"/>
          <w:sz w:val="22"/>
        </w:rPr>
        <w:t>RL reported Q4 FY26 results well ahead of expectations: revenue +12.1% CC (vs. mid-single-digit guidance), gross margin expanded (vs. guided contraction of ~100 bps), and EPS of $2.80 (vs. $2.55 consensus). FY27 guidance aligned with Investor Day targets. Stock surged ~14% on the day.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last earnings print. All transactions are either routine equity award grants (code A) or a single trust-based sale by Ralph Lauren that predates the earnings release. </w:t>
      </w:r>
      <w:r>
        <w:rPr>
          <w:rFonts w:ascii="Calibri" w:hAnsi="Calibri"/>
          <w:b/>
          <w:color w:val="525866"/>
          <w:sz w:val="22"/>
        </w:rPr>
        <w:t>No insider activity signals concern or unusual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LAUREN RALPH</w:t>
            </w:r>
          </w:p>
        </w:tc>
        <w:tc>
          <w:tcPr>
            <w:tcW w:type="dxa" w:w="1440"/>
          </w:tcPr>
          <w:p>
            <w:r>
              <w:rPr>
                <w:rFonts w:ascii="Calibri" w:hAnsi="Calibri"/>
                <w:sz w:val="22"/>
              </w:rPr>
              <w:t>Exec. Chair, Chief Creative Officer, 10% Owner, Director</w:t>
            </w:r>
          </w:p>
        </w:tc>
        <w:tc>
          <w:tcPr>
            <w:tcW w:type="dxa" w:w="1440"/>
          </w:tcPr>
          <w:p>
            <w:r>
              <w:rPr>
                <w:rFonts w:ascii="Calibri" w:hAnsi="Calibri"/>
                <w:sz w:val="22"/>
              </w:rPr>
              <w:t>Open Market Sale (By Trust)</w:t>
            </w:r>
          </w:p>
        </w:tc>
        <w:tc>
          <w:tcPr>
            <w:tcW w:type="dxa" w:w="1440"/>
          </w:tcPr>
          <w:p>
            <w:r>
              <w:rPr>
                <w:rFonts w:ascii="Calibri" w:hAnsi="Calibri"/>
                <w:sz w:val="22"/>
              </w:rPr>
              <w:t>263,654</w:t>
            </w:r>
          </w:p>
        </w:tc>
        <w:tc>
          <w:tcPr>
            <w:tcW w:type="dxa" w:w="1440"/>
          </w:tcPr>
          <w:p>
            <w:r>
              <w:rPr>
                <w:rFonts w:ascii="Calibri" w:hAnsi="Calibri"/>
                <w:sz w:val="22"/>
              </w:rPr>
              <w:t>May 26, 2026</w:t>
            </w:r>
          </w:p>
        </w:tc>
        <w:tc>
          <w:tcPr>
            <w:tcW w:type="dxa" w:w="1440"/>
          </w:tcPr>
          <w:p>
            <w:r>
              <w:rPr>
                <w:rFonts w:ascii="Calibri" w:hAnsi="Calibri"/>
                <w:sz w:val="22"/>
              </w:rPr>
              <w:t>Sale by trust (indirect ownership); occurred 5 days post-earnings; not flagged as 10b5-1 plan in data; trust-based sales are typically estate/tax planning, not discretionary signals</w:t>
            </w:r>
          </w:p>
        </w:tc>
      </w:tr>
      <w:tr>
        <w:tc>
          <w:tcPr>
            <w:tcW w:type="dxa" w:w="1440"/>
          </w:tcPr>
          <w:p>
            <w:r>
              <w:rPr>
                <w:rFonts w:ascii="Calibri" w:hAnsi="Calibri"/>
                <w:sz w:val="22"/>
              </w:rPr>
              <w:t>Louvet Patrice</w:t>
            </w:r>
          </w:p>
        </w:tc>
        <w:tc>
          <w:tcPr>
            <w:tcW w:type="dxa" w:w="1440"/>
          </w:tcPr>
          <w:p>
            <w:r>
              <w:rPr>
                <w:rFonts w:ascii="Calibri" w:hAnsi="Calibri"/>
                <w:sz w:val="22"/>
              </w:rPr>
              <w:t>President and CEO, Director</w:t>
            </w:r>
          </w:p>
        </w:tc>
        <w:tc>
          <w:tcPr>
            <w:tcW w:type="dxa" w:w="1440"/>
          </w:tcPr>
          <w:p>
            <w:r>
              <w:rPr>
                <w:rFonts w:ascii="Calibri" w:hAnsi="Calibri"/>
                <w:sz w:val="22"/>
              </w:rPr>
              <w:t>Equity Award Grant (Code A)</w:t>
            </w:r>
          </w:p>
        </w:tc>
        <w:tc>
          <w:tcPr>
            <w:tcW w:type="dxa" w:w="1440"/>
          </w:tcPr>
          <w:p>
            <w:r>
              <w:rPr>
                <w:rFonts w:ascii="Calibri" w:hAnsi="Calibri"/>
                <w:sz w:val="22"/>
              </w:rPr>
              <w:t>80,687</w:t>
            </w:r>
          </w:p>
        </w:tc>
        <w:tc>
          <w:tcPr>
            <w:tcW w:type="dxa" w:w="1440"/>
          </w:tcPr>
          <w:p>
            <w:r>
              <w:rPr>
                <w:rFonts w:ascii="Calibri" w:hAnsi="Calibri"/>
                <w:sz w:val="22"/>
              </w:rPr>
              <w:t>June 1, 2026</w:t>
            </w:r>
          </w:p>
        </w:tc>
        <w:tc>
          <w:tcPr>
            <w:tcW w:type="dxa" w:w="1440"/>
          </w:tcPr>
          <w:p>
            <w:r>
              <w:rPr>
                <w:rFonts w:ascii="Calibri" w:hAnsi="Calibri"/>
                <w:sz w:val="22"/>
              </w:rPr>
              <w:t>Routine equity compensation award; not an open-market transaction</w:t>
            </w:r>
          </w:p>
        </w:tc>
      </w:tr>
      <w:tr>
        <w:tc>
          <w:tcPr>
            <w:tcW w:type="dxa" w:w="1440"/>
          </w:tcPr>
          <w:p>
            <w:r>
              <w:rPr>
                <w:rFonts w:ascii="Calibri" w:hAnsi="Calibri"/>
                <w:sz w:val="22"/>
              </w:rPr>
              <w:t>LAUREN RALPH</w:t>
            </w:r>
          </w:p>
        </w:tc>
        <w:tc>
          <w:tcPr>
            <w:tcW w:type="dxa" w:w="1440"/>
          </w:tcPr>
          <w:p>
            <w:r>
              <w:rPr>
                <w:rFonts w:ascii="Calibri" w:hAnsi="Calibri"/>
                <w:sz w:val="22"/>
              </w:rPr>
              <w:t>Exec. Chair, Chief Creative Officer, 10% Owner, Director</w:t>
            </w:r>
          </w:p>
        </w:tc>
        <w:tc>
          <w:tcPr>
            <w:tcW w:type="dxa" w:w="1440"/>
          </w:tcPr>
          <w:p>
            <w:r>
              <w:rPr>
                <w:rFonts w:ascii="Calibri" w:hAnsi="Calibri"/>
                <w:sz w:val="22"/>
              </w:rPr>
              <w:t>Equity Award Grant (Code A)</w:t>
            </w:r>
          </w:p>
        </w:tc>
        <w:tc>
          <w:tcPr>
            <w:tcW w:type="dxa" w:w="1440"/>
          </w:tcPr>
          <w:p>
            <w:r>
              <w:rPr>
                <w:rFonts w:ascii="Calibri" w:hAnsi="Calibri"/>
                <w:sz w:val="22"/>
              </w:rPr>
              <w:t>162,638</w:t>
            </w:r>
          </w:p>
        </w:tc>
        <w:tc>
          <w:tcPr>
            <w:tcW w:type="dxa" w:w="1440"/>
          </w:tcPr>
          <w:p>
            <w:r>
              <w:rPr>
                <w:rFonts w:ascii="Calibri" w:hAnsi="Calibri"/>
                <w:sz w:val="22"/>
              </w:rPr>
              <w:t>June 1, 2026</w:t>
            </w:r>
          </w:p>
        </w:tc>
        <w:tc>
          <w:tcPr>
            <w:tcW w:type="dxa" w:w="1440"/>
          </w:tcPr>
          <w:p>
            <w:r>
              <w:rPr>
                <w:rFonts w:ascii="Calibri" w:hAnsi="Calibri"/>
                <w:sz w:val="22"/>
              </w:rPr>
              <w:t>Routine equity compensation award; not an open-market transaction</w:t>
            </w:r>
          </w:p>
        </w:tc>
      </w:tr>
      <w:tr>
        <w:tc>
          <w:tcPr>
            <w:tcW w:type="dxa" w:w="1440"/>
          </w:tcPr>
          <w:p>
            <w:r>
              <w:rPr>
                <w:rFonts w:ascii="Calibri" w:hAnsi="Calibri"/>
                <w:sz w:val="22"/>
              </w:rPr>
              <w:t>Lauren David R.</w:t>
            </w:r>
          </w:p>
        </w:tc>
        <w:tc>
          <w:tcPr>
            <w:tcW w:type="dxa" w:w="1440"/>
          </w:tcPr>
          <w:p>
            <w:r>
              <w:rPr>
                <w:rFonts w:ascii="Calibri" w:hAnsi="Calibri"/>
                <w:sz w:val="22"/>
              </w:rPr>
              <w:t>Vice Chair, Chief Innovation Officer, Director</w:t>
            </w:r>
          </w:p>
        </w:tc>
        <w:tc>
          <w:tcPr>
            <w:tcW w:type="dxa" w:w="1440"/>
          </w:tcPr>
          <w:p>
            <w:r>
              <w:rPr>
                <w:rFonts w:ascii="Calibri" w:hAnsi="Calibri"/>
                <w:sz w:val="22"/>
              </w:rPr>
              <w:t>Equity Award Grant (Code A)</w:t>
            </w:r>
          </w:p>
        </w:tc>
        <w:tc>
          <w:tcPr>
            <w:tcW w:type="dxa" w:w="1440"/>
          </w:tcPr>
          <w:p>
            <w:r>
              <w:rPr>
                <w:rFonts w:ascii="Calibri" w:hAnsi="Calibri"/>
                <w:sz w:val="22"/>
              </w:rPr>
              <w:t>7,267</w:t>
            </w:r>
          </w:p>
        </w:tc>
        <w:tc>
          <w:tcPr>
            <w:tcW w:type="dxa" w:w="1440"/>
          </w:tcPr>
          <w:p>
            <w:r>
              <w:rPr>
                <w:rFonts w:ascii="Calibri" w:hAnsi="Calibri"/>
                <w:sz w:val="22"/>
              </w:rPr>
              <w:t>June 1, 2026</w:t>
            </w:r>
          </w:p>
        </w:tc>
        <w:tc>
          <w:tcPr>
            <w:tcW w:type="dxa" w:w="1440"/>
          </w:tcPr>
          <w:p>
            <w:r>
              <w:rPr>
                <w:rFonts w:ascii="Calibri" w:hAnsi="Calibri"/>
                <w:sz w:val="22"/>
              </w:rPr>
              <w:t>Routine equity compensation award; not an open-market transaction</w:t>
            </w:r>
          </w:p>
        </w:tc>
      </w:tr>
      <w:tr>
        <w:tc>
          <w:tcPr>
            <w:tcW w:type="dxa" w:w="1440"/>
          </w:tcPr>
          <w:p>
            <w:r>
              <w:rPr>
                <w:rFonts w:ascii="Calibri" w:hAnsi="Calibri"/>
                <w:sz w:val="22"/>
              </w:rPr>
              <w:t>Ranftl Robert P.</w:t>
            </w:r>
          </w:p>
        </w:tc>
        <w:tc>
          <w:tcPr>
            <w:tcW w:type="dxa" w:w="1440"/>
          </w:tcPr>
          <w:p>
            <w:r>
              <w:rPr>
                <w:rFonts w:ascii="Calibri" w:hAnsi="Calibri"/>
                <w:sz w:val="22"/>
              </w:rPr>
              <w:t>Chief Operating Officer</w:t>
            </w:r>
          </w:p>
        </w:tc>
        <w:tc>
          <w:tcPr>
            <w:tcW w:type="dxa" w:w="1440"/>
          </w:tcPr>
          <w:p>
            <w:r>
              <w:rPr>
                <w:rFonts w:ascii="Calibri" w:hAnsi="Calibri"/>
                <w:sz w:val="22"/>
              </w:rPr>
              <w:t>Equity Award Grant (Code A)</w:t>
            </w:r>
          </w:p>
        </w:tc>
        <w:tc>
          <w:tcPr>
            <w:tcW w:type="dxa" w:w="1440"/>
          </w:tcPr>
          <w:p>
            <w:r>
              <w:rPr>
                <w:rFonts w:ascii="Calibri" w:hAnsi="Calibri"/>
                <w:sz w:val="22"/>
              </w:rPr>
              <w:t>10,904</w:t>
            </w:r>
          </w:p>
        </w:tc>
        <w:tc>
          <w:tcPr>
            <w:tcW w:type="dxa" w:w="1440"/>
          </w:tcPr>
          <w:p>
            <w:r>
              <w:rPr>
                <w:rFonts w:ascii="Calibri" w:hAnsi="Calibri"/>
                <w:sz w:val="22"/>
              </w:rPr>
              <w:t>June 1, 2026</w:t>
            </w:r>
          </w:p>
        </w:tc>
        <w:tc>
          <w:tcPr>
            <w:tcW w:type="dxa" w:w="1440"/>
          </w:tcPr>
          <w:p>
            <w:r>
              <w:rPr>
                <w:rFonts w:ascii="Calibri" w:hAnsi="Calibri"/>
                <w:sz w:val="22"/>
              </w:rPr>
              <w:t>Routine equity compensation award; not an open-market transaction</w:t>
            </w:r>
          </w:p>
        </w:tc>
      </w:tr>
      <w:tr>
        <w:tc>
          <w:tcPr>
            <w:tcW w:type="dxa" w:w="1440"/>
          </w:tcPr>
          <w:p>
            <w:r>
              <w:rPr>
                <w:rFonts w:ascii="Calibri" w:hAnsi="Calibri"/>
                <w:sz w:val="22"/>
              </w:rPr>
              <w:t>Ranftl Robert P.</w:t>
            </w:r>
          </w:p>
        </w:tc>
        <w:tc>
          <w:tcPr>
            <w:tcW w:type="dxa" w:w="1440"/>
          </w:tcPr>
          <w:p>
            <w:r>
              <w:rPr>
                <w:rFonts w:ascii="Calibri" w:hAnsi="Calibri"/>
                <w:sz w:val="22"/>
              </w:rPr>
              <w:t>Chief Operating Officer</w:t>
            </w:r>
          </w:p>
        </w:tc>
        <w:tc>
          <w:tcPr>
            <w:tcW w:type="dxa" w:w="1440"/>
          </w:tcPr>
          <w:p>
            <w:r>
              <w:rPr>
                <w:rFonts w:ascii="Calibri" w:hAnsi="Calibri"/>
                <w:sz w:val="22"/>
              </w:rPr>
              <w:t>Open Market Sale</w:t>
            </w:r>
          </w:p>
        </w:tc>
        <w:tc>
          <w:tcPr>
            <w:tcW w:type="dxa" w:w="1440"/>
          </w:tcPr>
          <w:p>
            <w:r>
              <w:rPr>
                <w:rFonts w:ascii="Calibri" w:hAnsi="Calibri"/>
                <w:sz w:val="22"/>
              </w:rPr>
              <w:t>6,500</w:t>
            </w:r>
          </w:p>
        </w:tc>
        <w:tc>
          <w:tcPr>
            <w:tcW w:type="dxa" w:w="1440"/>
          </w:tcPr>
          <w:p>
            <w:r>
              <w:rPr>
                <w:rFonts w:ascii="Calibri" w:hAnsi="Calibri"/>
                <w:sz w:val="22"/>
              </w:rPr>
              <w:t>June 3, 2026</w:t>
            </w:r>
          </w:p>
        </w:tc>
        <w:tc>
          <w:tcPr>
            <w:tcW w:type="dxa" w:w="1440"/>
          </w:tcPr>
          <w:p>
            <w:r>
              <w:rPr>
                <w:rFonts w:ascii="Calibri" w:hAnsi="Calibri"/>
                <w:sz w:val="22"/>
              </w:rPr>
              <w:t>Discretionary open-market sale; relatively small size (~$2.4M at ~$366/share); likely related to tax withholding on the June 1 award</w:t>
            </w:r>
          </w:p>
        </w:tc>
      </w:tr>
      <w:tr>
        <w:tc>
          <w:tcPr>
            <w:tcW w:type="dxa" w:w="1440"/>
          </w:tcPr>
          <w:p>
            <w:r>
              <w:rPr>
                <w:rFonts w:ascii="Calibri" w:hAnsi="Calibri"/>
                <w:sz w:val="22"/>
              </w:rPr>
              <w:t>Alagoz Halide</w:t>
            </w:r>
          </w:p>
        </w:tc>
        <w:tc>
          <w:tcPr>
            <w:tcW w:type="dxa" w:w="1440"/>
          </w:tcPr>
          <w:p>
            <w:r>
              <w:rPr>
                <w:rFonts w:ascii="Calibri" w:hAnsi="Calibri"/>
                <w:sz w:val="22"/>
              </w:rPr>
              <w:t>Chief Product &amp; Merchandising Officer</w:t>
            </w:r>
          </w:p>
        </w:tc>
        <w:tc>
          <w:tcPr>
            <w:tcW w:type="dxa" w:w="1440"/>
          </w:tcPr>
          <w:p>
            <w:r>
              <w:rPr>
                <w:rFonts w:ascii="Calibri" w:hAnsi="Calibri"/>
                <w:sz w:val="22"/>
              </w:rPr>
              <w:t>Equity Award Grant (Code A)</w:t>
            </w:r>
          </w:p>
        </w:tc>
        <w:tc>
          <w:tcPr>
            <w:tcW w:type="dxa" w:w="1440"/>
          </w:tcPr>
          <w:p>
            <w:r>
              <w:rPr>
                <w:rFonts w:ascii="Calibri" w:hAnsi="Calibri"/>
                <w:sz w:val="22"/>
              </w:rPr>
              <w:t>8,721</w:t>
            </w:r>
          </w:p>
        </w:tc>
        <w:tc>
          <w:tcPr>
            <w:tcW w:type="dxa" w:w="1440"/>
          </w:tcPr>
          <w:p>
            <w:r>
              <w:rPr>
                <w:rFonts w:ascii="Calibri" w:hAnsi="Calibri"/>
                <w:sz w:val="22"/>
              </w:rPr>
              <w:t>June 1, 2026</w:t>
            </w:r>
          </w:p>
        </w:tc>
        <w:tc>
          <w:tcPr>
            <w:tcW w:type="dxa" w:w="1440"/>
          </w:tcPr>
          <w:p>
            <w:r>
              <w:rPr>
                <w:rFonts w:ascii="Calibri" w:hAnsi="Calibri"/>
                <w:sz w:val="22"/>
              </w:rPr>
              <w:t>Routine equity compensation award; not an open-market transaction</w:t>
            </w:r>
          </w:p>
        </w:tc>
      </w:tr>
      <w:tr>
        <w:tc>
          <w:tcPr>
            <w:tcW w:type="dxa" w:w="1440"/>
          </w:tcPr>
          <w:p>
            <w:r>
              <w:rPr>
                <w:rFonts w:ascii="Calibri" w:hAnsi="Calibri"/>
                <w:sz w:val="22"/>
              </w:rPr>
              <w:t>LAUREN RALPH</w:t>
            </w:r>
          </w:p>
        </w:tc>
        <w:tc>
          <w:tcPr>
            <w:tcW w:type="dxa" w:w="1440"/>
          </w:tcPr>
          <w:p>
            <w:r>
              <w:rPr>
                <w:rFonts w:ascii="Calibri" w:hAnsi="Calibri"/>
                <w:sz w:val="22"/>
              </w:rPr>
              <w:t>Exec. Chair, Chief Creative Officer, 10% Owner, Director</w:t>
            </w:r>
          </w:p>
        </w:tc>
        <w:tc>
          <w:tcPr>
            <w:tcW w:type="dxa" w:w="1440"/>
          </w:tcPr>
          <w:p>
            <w:r>
              <w:rPr>
                <w:rFonts w:ascii="Calibri" w:hAnsi="Calibri"/>
                <w:sz w:val="22"/>
              </w:rPr>
              <w:t>Equity Award Grant (Code A)</w:t>
            </w:r>
          </w:p>
        </w:tc>
        <w:tc>
          <w:tcPr>
            <w:tcW w:type="dxa" w:w="1440"/>
          </w:tcPr>
          <w:p>
            <w:r>
              <w:rPr>
                <w:rFonts w:ascii="Calibri" w:hAnsi="Calibri"/>
                <w:sz w:val="22"/>
              </w:rPr>
              <w:t>1,334</w:t>
            </w:r>
          </w:p>
        </w:tc>
        <w:tc>
          <w:tcPr>
            <w:tcW w:type="dxa" w:w="1440"/>
          </w:tcPr>
          <w:p>
            <w:r>
              <w:rPr>
                <w:rFonts w:ascii="Calibri" w:hAnsi="Calibri"/>
                <w:sz w:val="22"/>
              </w:rPr>
              <w:t>July 10, 2026</w:t>
            </w:r>
          </w:p>
        </w:tc>
        <w:tc>
          <w:tcPr>
            <w:tcW w:type="dxa" w:w="1440"/>
          </w:tcPr>
          <w:p>
            <w:r>
              <w:rPr>
                <w:rFonts w:ascii="Calibri" w:hAnsi="Calibri"/>
                <w:sz w:val="22"/>
              </w:rPr>
              <w:t>Routine equity compensation award (dividend equivalent units); not an open-market transaction</w:t>
            </w:r>
          </w:p>
        </w:tc>
      </w:tr>
      <w:tr>
        <w:tc>
          <w:tcPr>
            <w:tcW w:type="dxa" w:w="1440"/>
          </w:tcPr>
          <w:p>
            <w:r>
              <w:rPr>
                <w:rFonts w:ascii="Calibri" w:hAnsi="Calibri"/>
                <w:sz w:val="22"/>
              </w:rPr>
              <w:t>Multiple Directors (8)</w:t>
            </w:r>
          </w:p>
        </w:tc>
        <w:tc>
          <w:tcPr>
            <w:tcW w:type="dxa" w:w="1440"/>
          </w:tcPr>
          <w:p>
            <w:r>
              <w:rPr>
                <w:rFonts w:ascii="Calibri" w:hAnsi="Calibri"/>
                <w:sz w:val="22"/>
              </w:rPr>
              <w:t>Board of Directors</w:t>
            </w:r>
          </w:p>
        </w:tc>
        <w:tc>
          <w:tcPr>
            <w:tcW w:type="dxa" w:w="1440"/>
          </w:tcPr>
          <w:p>
            <w:r>
              <w:rPr>
                <w:rFonts w:ascii="Calibri" w:hAnsi="Calibri"/>
                <w:sz w:val="22"/>
              </w:rPr>
              <w:t>Equity Award Grant (Code A)</w:t>
            </w:r>
          </w:p>
        </w:tc>
        <w:tc>
          <w:tcPr>
            <w:tcW w:type="dxa" w:w="1440"/>
          </w:tcPr>
          <w:p>
            <w:r>
              <w:rPr>
                <w:rFonts w:ascii="Calibri" w:hAnsi="Calibri"/>
                <w:sz w:val="22"/>
              </w:rPr>
              <w:t>~458 each (Jul 30); ~1.49 each (Jul 10)</w:t>
            </w:r>
          </w:p>
        </w:tc>
        <w:tc>
          <w:tcPr>
            <w:tcW w:type="dxa" w:w="1440"/>
          </w:tcPr>
          <w:p>
            <w:r>
              <w:rPr>
                <w:rFonts w:ascii="Calibri" w:hAnsi="Calibri"/>
                <w:sz w:val="22"/>
              </w:rPr>
              <w:t>July 10 &amp; July 30, 2026</w:t>
            </w:r>
          </w:p>
        </w:tc>
        <w:tc>
          <w:tcPr>
            <w:tcW w:type="dxa" w:w="1440"/>
          </w:tcPr>
          <w:p>
            <w:r>
              <w:rPr>
                <w:rFonts w:ascii="Calibri" w:hAnsi="Calibri"/>
                <w:sz w:val="22"/>
              </w:rPr>
              <w:t>Routine director equity compensation (dividend equivalent units and annual grants); not open-market transactions</w:t>
            </w:r>
          </w:p>
        </w:tc>
      </w:tr>
    </w:tbl>
    <w:p>
      <w:r>
        <w:rPr>
          <w:rFonts w:ascii="Calibri" w:hAnsi="Calibri"/>
          <w:i/>
          <w:color w:val="525866"/>
          <w:sz w:val="22"/>
        </w:rPr>
        <w:t>Source: Insider Transaction Data (SEC Form 4 filings).</w:t>
      </w:r>
    </w:p>
    <w:p>
      <w:r>
        <w:rPr>
          <w:rFonts w:ascii="Calibri" w:hAnsi="Calibri"/>
          <w:color w:val="525866"/>
          <w:sz w:val="22"/>
        </w:rPr>
        <w:t>The only open-market sale of note is COO Robert Ranftl’s 6,500-share sale on June 3, 2026 — a small transaction (~$2.4M) that occurred two days after a routine equity award grant and is consistent with tax-withholding-related selling rather than a discretionary bearish signal. Ralph Lauren’s trust-based sale of 263,654 shares on May 26 (5 days post-earnings) is large in absolute terms but is an indirect trust transaction, typical of estate and tax planning for a founder-controlled company, and carries no negative signal. No open-market buys were recorded in the period, but the absence of buys is not unusual given the stock’s significant post-earnings appreciation.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