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Ralph Lauren Corporation (RL) — Q1 FY2027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Ralph Lauren Corporation</w:t>
            </w:r>
          </w:p>
        </w:tc>
      </w:tr>
      <w:tr>
        <w:tc>
          <w:tcPr>
            <w:tcW w:type="dxa" w:w="4320"/>
          </w:tcPr>
          <w:p>
            <w:r>
              <w:rPr>
                <w:rFonts w:ascii="Calibri" w:hAnsi="Calibri"/>
                <w:b/>
                <w:sz w:val="22"/>
              </w:rPr>
              <w:t>Ticker</w:t>
            </w:r>
          </w:p>
        </w:tc>
        <w:tc>
          <w:tcPr>
            <w:tcW w:type="dxa" w:w="4320"/>
          </w:tcPr>
          <w:p>
            <w:r>
              <w:rPr>
                <w:rFonts w:ascii="Calibri" w:hAnsi="Calibri"/>
                <w:sz w:val="22"/>
              </w:rPr>
              <w:t>RL (NYSE)</w:t>
            </w:r>
          </w:p>
        </w:tc>
      </w:tr>
      <w:tr>
        <w:tc>
          <w:tcPr>
            <w:tcW w:type="dxa" w:w="4320"/>
          </w:tcPr>
          <w:p>
            <w:r>
              <w:rPr>
                <w:rFonts w:ascii="Calibri" w:hAnsi="Calibri"/>
                <w:b/>
                <w:sz w:val="22"/>
              </w:rPr>
              <w:t>Reporting Period</w:t>
            </w:r>
          </w:p>
        </w:tc>
        <w:tc>
          <w:tcPr>
            <w:tcW w:type="dxa" w:w="4320"/>
          </w:tcPr>
          <w:p>
            <w:r>
              <w:rPr>
                <w:rFonts w:ascii="Calibri" w:hAnsi="Calibri"/>
                <w:sz w:val="22"/>
              </w:rPr>
              <w:t>Q1 FY2027 (quarter ended June 28, 2026)</w:t>
            </w:r>
          </w:p>
        </w:tc>
      </w:tr>
      <w:tr>
        <w:tc>
          <w:tcPr>
            <w:tcW w:type="dxa" w:w="4320"/>
          </w:tcPr>
          <w:p>
            <w:r>
              <w:rPr>
                <w:rFonts w:ascii="Calibri" w:hAnsi="Calibri"/>
                <w:b/>
                <w:sz w:val="22"/>
              </w:rPr>
              <w:t>Earnings Date</w:t>
            </w:r>
          </w:p>
        </w:tc>
        <w:tc>
          <w:tcPr>
            <w:tcW w:type="dxa" w:w="4320"/>
          </w:tcPr>
          <w:p>
            <w:r>
              <w:rPr>
                <w:rFonts w:ascii="Calibri" w:hAnsi="Calibri"/>
                <w:sz w:val="22"/>
              </w:rPr>
              <w:t>August 6, 2026 — 9:00 AM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21, 2026 (Q4 FY2026)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Q1 FY27 is constructive — consensus sits below management's own guidance midpoint on revenue and margins, creating a low bar — but the single biggest swing factor is whether RL's gross margin can again outperform in a quarter where tariff headwinds are explicitly modeled as a modest offset to AUR-driven expansion.</w:t>
      </w:r>
    </w:p>
    <w:p>
      <w:r>
        <w:rPr>
          <w:rFonts w:ascii="Calibri" w:hAnsi="Calibri"/>
          <w:b/>
          <w:color w:val="525866"/>
          <w:sz w:val="22"/>
        </w:rPr>
        <w:t xml:space="preserve">Bar: </w:t>
      </w:r>
      <w:r>
        <w:rPr>
          <w:rFonts w:ascii="Calibri" w:hAnsi="Calibri"/>
          <w:color w:val="525866"/>
          <w:sz w:val="22"/>
        </w:rPr>
        <w:t xml:space="preserve">Consensus revenue of ~$1.87B implies mid-single-digit constant-currency growth, sitting at the low end of management's guided "mid- to high-single-digit" range, leaving meaningful room for an upside surprise. </w:t>
      </w:r>
      <w:r>
        <w:rPr>
          <w:rFonts w:ascii="Calibri" w:hAnsi="Calibri"/>
          <w:b/>
          <w:color w:val="525866"/>
          <w:sz w:val="22"/>
        </w:rPr>
        <w:t xml:space="preserve">Guidance/Tone: </w:t>
      </w:r>
      <w:r>
        <w:rPr>
          <w:rFonts w:ascii="Calibri" w:hAnsi="Calibri"/>
          <w:color w:val="525866"/>
          <w:sz w:val="22"/>
        </w:rPr>
        <w:t xml:space="preserve">Management exited Q4 FY26 with its most confident posture in years — revenues surpassed $8B for the first time, gross margin expanded despite peak tariff pressure, and FY27 guidance was set in line with Investor Day targets — signaling no meaningful deterioration in the underlying business. </w:t>
      </w:r>
      <w:r>
        <w:rPr>
          <w:rFonts w:ascii="Calibri" w:hAnsi="Calibri"/>
          <w:b/>
          <w:color w:val="525866"/>
          <w:sz w:val="22"/>
        </w:rPr>
        <w:t xml:space="preserve">Estimate Trajectory: </w:t>
      </w:r>
      <w:r>
        <w:rPr>
          <w:rFonts w:ascii="Calibri" w:hAnsi="Calibri"/>
          <w:color w:val="525866"/>
          <w:sz w:val="22"/>
        </w:rPr>
        <w:t xml:space="preserve">Q1 FY27 EPS estimates have drifted modestly higher since the May 21 print (from ~$4.24 to ~$4.32), tracking guidance rather than diverging from it, which represents cushion rather than risk. </w:t>
      </w:r>
      <w:r>
        <w:rPr>
          <w:rFonts w:ascii="Calibri" w:hAnsi="Calibri"/>
          <w:b/>
          <w:color w:val="525866"/>
          <w:sz w:val="22"/>
        </w:rPr>
        <w:t xml:space="preserve">Stock Setup: </w:t>
      </w:r>
      <w:r>
        <w:rPr>
          <w:rFonts w:ascii="Calibri" w:hAnsi="Calibri"/>
          <w:color w:val="525866"/>
          <w:sz w:val="22"/>
        </w:rPr>
        <w:t xml:space="preserve">RL is up ~1.6% since last earnings vs. XRT +11.8% and SPY +3.6%, suggesting the stock has meaningfully underperformed the sector ETF and has not priced in a beat — the multiple (NTM P/E ~19.7x) is below the post-earnings peak, leaving room for re-rating on a clean print. </w:t>
      </w:r>
      <w:r>
        <w:rPr>
          <w:rFonts w:ascii="Calibri" w:hAnsi="Calibri"/>
          <w:b/>
          <w:color w:val="525866"/>
          <w:sz w:val="22"/>
        </w:rPr>
        <w:t xml:space="preserve">Wildcard: </w:t>
      </w:r>
      <w:r>
        <w:rPr>
          <w:rFonts w:ascii="Calibri" w:hAnsi="Calibri"/>
          <w:color w:val="525866"/>
          <w:sz w:val="22"/>
        </w:rPr>
        <w:t>The single biggest surprise risk is Europe — management guided low-to-mid-single-digit CC growth but flagged elevated energy costs, Middle East disruption to partner sales and inbound tourism, and a more cautious consumer backdrop; peer commentary from Canada Goose and Columbia Sportswear confirms EMEA store traffic remained soft through June, which could pressure RL's European segment and weigh on the consolidated gross margin mix.</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both revenue and EPS relative to management's own guidance range, with the gross margin trajectory the bigger swing factor — a repeat of Q4's tariff-offset outperformance would be the most meaningful positive surprise.</w:t>
      </w:r>
    </w:p>
    <w:p>
      <w:pPr>
        <w:pStyle w:val="Heading2"/>
      </w:pPr>
      <w:r>
        <w:rPr>
          <w:rFonts w:ascii="Calibri" w:hAnsi="Calibri"/>
          <w:b/>
          <w:color w:val="3B4259"/>
          <w:sz w:val="28"/>
        </w:rPr>
        <w:t>Table 1 — Current Quarter Snapshot (Q1 FY2027, Quarter Ending June 28,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(Q4 FY26)</w:t>
            </w:r>
          </w:p>
        </w:tc>
        <w:tc>
          <w:tcPr>
            <w:tcW w:type="dxa" w:w="1234"/>
            <w:shd w:val="clear" w:color="auto" w:fill="3B4259"/>
          </w:tcPr>
          <w:p>
            <w:r>
              <w:rPr>
                <w:rFonts w:ascii="Calibri" w:hAnsi="Calibri"/>
                <w:b/>
                <w:color w:val="FFFFFF"/>
                <w:sz w:val="22"/>
              </w:rPr>
              <w:t>Prior Year Period (Q1 FY26 Actual)</w:t>
            </w:r>
          </w:p>
        </w:tc>
        <w:tc>
          <w:tcPr>
            <w:tcW w:type="dxa" w:w="1234"/>
            <w:shd w:val="clear" w:color="auto" w:fill="3B4259"/>
          </w:tcPr>
          <w:p>
            <w:r>
              <w:rPr>
                <w:rFonts w:ascii="Calibri" w:hAnsi="Calibri"/>
                <w:b/>
                <w:color w:val="FFFFFF"/>
                <w:sz w:val="22"/>
              </w:rPr>
              <w:t>Q1 FY27 Consensus Estimate</w:t>
            </w:r>
          </w:p>
        </w:tc>
        <w:tc>
          <w:tcPr>
            <w:tcW w:type="dxa" w:w="1234"/>
            <w:shd w:val="clear" w:color="auto" w:fill="3B4259"/>
          </w:tcPr>
          <w:p>
            <w:r>
              <w:rPr>
                <w:rFonts w:ascii="Calibri" w:hAnsi="Calibri"/>
                <w:b/>
                <w:color w:val="FFFFFF"/>
                <w:sz w:val="22"/>
              </w:rPr>
              <w:t>YoY Change (vs. Q1 FY26)</w:t>
            </w:r>
          </w:p>
        </w:tc>
        <w:tc>
          <w:tcPr>
            <w:tcW w:type="dxa" w:w="1234"/>
            <w:shd w:val="clear" w:color="auto" w:fill="3B4259"/>
          </w:tcPr>
          <w:p>
            <w:r>
              <w:rPr>
                <w:rFonts w:ascii="Calibri" w:hAnsi="Calibri"/>
                <w:b/>
                <w:color w:val="FFFFFF"/>
                <w:sz w:val="22"/>
              </w:rPr>
              <w:t>Q1 FY27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($M)</w:t>
            </w:r>
          </w:p>
        </w:tc>
        <w:tc>
          <w:tcPr>
            <w:tcW w:type="dxa" w:w="1234"/>
          </w:tcPr>
          <w:p>
            <w:r>
              <w:rPr>
                <w:rFonts w:ascii="Calibri" w:hAnsi="Calibri"/>
                <w:sz w:val="22"/>
              </w:rPr>
              <w:t>$1,978.7M</w:t>
            </w:r>
          </w:p>
        </w:tc>
        <w:tc>
          <w:tcPr>
            <w:tcW w:type="dxa" w:w="1234"/>
          </w:tcPr>
          <w:p>
            <w:r>
              <w:rPr>
                <w:rFonts w:ascii="Calibri" w:hAnsi="Calibri"/>
                <w:sz w:val="22"/>
              </w:rPr>
              <w:t>$1,719.1M</w:t>
            </w:r>
          </w:p>
        </w:tc>
        <w:tc>
          <w:tcPr>
            <w:tcW w:type="dxa" w:w="1234"/>
          </w:tcPr>
          <w:p>
            <w:r>
              <w:rPr>
                <w:rFonts w:ascii="Calibri" w:hAnsi="Calibri"/>
                <w:sz w:val="22"/>
              </w:rPr>
              <w:t>$1,868.7M</w:t>
            </w:r>
          </w:p>
        </w:tc>
        <w:tc>
          <w:tcPr>
            <w:tcW w:type="dxa" w:w="1234"/>
          </w:tcPr>
          <w:p>
            <w:r>
              <w:rPr>
                <w:rFonts w:ascii="Calibri" w:hAnsi="Calibri"/>
                <w:sz w:val="22"/>
              </w:rPr>
              <w:t>+8.7%</w:t>
            </w:r>
          </w:p>
        </w:tc>
        <w:tc>
          <w:tcPr>
            <w:tcW w:type="dxa" w:w="1234"/>
          </w:tcPr>
          <w:p>
            <w:r>
              <w:rPr>
                <w:rFonts w:ascii="Calibri" w:hAnsi="Calibri"/>
                <w:sz w:val="22"/>
              </w:rPr>
              <w:t>Mid- to high-single-digit CC growth</w:t>
            </w:r>
          </w:p>
        </w:tc>
        <w:tc>
          <w:tcPr>
            <w:tcW w:type="dxa" w:w="1234"/>
          </w:tcPr>
          <w:p>
            <w:r>
              <w:rPr>
                <w:rFonts w:ascii="Calibri" w:hAnsi="Calibri"/>
                <w:sz w:val="22"/>
              </w:rPr>
              <w:t>At low end of guided range</w:t>
            </w:r>
          </w:p>
        </w:tc>
      </w:tr>
      <w:tr>
        <w:tc>
          <w:tcPr>
            <w:tcW w:type="dxa" w:w="1234"/>
          </w:tcPr>
          <w:p>
            <w:r>
              <w:rPr>
                <w:rFonts w:ascii="Calibri" w:hAnsi="Calibri"/>
                <w:sz w:val="22"/>
              </w:rPr>
              <w:t>Diluted EPS — Operating ($)</w:t>
            </w:r>
          </w:p>
        </w:tc>
        <w:tc>
          <w:tcPr>
            <w:tcW w:type="dxa" w:w="1234"/>
          </w:tcPr>
          <w:p>
            <w:r>
              <w:rPr>
                <w:rFonts w:ascii="Calibri" w:hAnsi="Calibri"/>
                <w:sz w:val="22"/>
              </w:rPr>
              <w:t>$2.80</w:t>
            </w:r>
          </w:p>
        </w:tc>
        <w:tc>
          <w:tcPr>
            <w:tcW w:type="dxa" w:w="1234"/>
          </w:tcPr>
          <w:p>
            <w:r>
              <w:rPr>
                <w:rFonts w:ascii="Calibri" w:hAnsi="Calibri"/>
                <w:sz w:val="22"/>
              </w:rPr>
              <w:t>$3.77</w:t>
            </w:r>
          </w:p>
        </w:tc>
        <w:tc>
          <w:tcPr>
            <w:tcW w:type="dxa" w:w="1234"/>
          </w:tcPr>
          <w:p>
            <w:r>
              <w:rPr>
                <w:rFonts w:ascii="Calibri" w:hAnsi="Calibri"/>
                <w:sz w:val="22"/>
              </w:rPr>
              <w:t>$4.32</w:t>
            </w:r>
          </w:p>
        </w:tc>
        <w:tc>
          <w:tcPr>
            <w:tcW w:type="dxa" w:w="1234"/>
          </w:tcPr>
          <w:p>
            <w:r>
              <w:rPr>
                <w:rFonts w:ascii="Calibri" w:hAnsi="Calibri"/>
                <w:sz w:val="22"/>
              </w:rPr>
              <w:t>+14.6%</w:t>
            </w:r>
          </w:p>
        </w:tc>
        <w:tc>
          <w:tcPr>
            <w:tcW w:type="dxa" w:w="1234"/>
          </w:tcPr>
          <w:p>
            <w:r>
              <w:rPr>
                <w:rFonts w:ascii="Calibri" w:hAnsi="Calibri"/>
                <w:sz w:val="22"/>
              </w:rPr>
              <w:t>Operating margin +80–120 bps CC</w:t>
            </w:r>
          </w:p>
        </w:tc>
        <w:tc>
          <w:tcPr>
            <w:tcW w:type="dxa" w:w="1234"/>
          </w:tcPr>
          <w:p>
            <w:r>
              <w:rPr>
                <w:rFonts w:ascii="Calibri" w:hAnsi="Calibri"/>
                <w:sz w:val="22"/>
              </w:rPr>
              <w:t>Consistent with guided expansion</w:t>
            </w:r>
          </w:p>
        </w:tc>
      </w:tr>
      <w:tr>
        <w:tc>
          <w:tcPr>
            <w:tcW w:type="dxa" w:w="1234"/>
          </w:tcPr>
          <w:p>
            <w:r>
              <w:rPr>
                <w:rFonts w:ascii="Calibri" w:hAnsi="Calibri"/>
                <w:sz w:val="22"/>
              </w:rPr>
              <w:t>Gross Profit — Operating ($M)</w:t>
            </w:r>
          </w:p>
        </w:tc>
        <w:tc>
          <w:tcPr>
            <w:tcW w:type="dxa" w:w="1234"/>
          </w:tcPr>
          <w:p>
            <w:r>
              <w:rPr>
                <w:rFonts w:ascii="Calibri" w:hAnsi="Calibri"/>
                <w:sz w:val="22"/>
              </w:rPr>
              <w:t>$1,378.8M</w:t>
            </w:r>
          </w:p>
        </w:tc>
        <w:tc>
          <w:tcPr>
            <w:tcW w:type="dxa" w:w="1234"/>
          </w:tcPr>
          <w:p>
            <w:r>
              <w:rPr>
                <w:rFonts w:ascii="Calibri" w:hAnsi="Calibri"/>
                <w:sz w:val="22"/>
              </w:rPr>
              <w:t>$1,242.3M</w:t>
            </w:r>
          </w:p>
        </w:tc>
        <w:tc>
          <w:tcPr>
            <w:tcW w:type="dxa" w:w="1234"/>
          </w:tcPr>
          <w:p>
            <w:r>
              <w:rPr>
                <w:rFonts w:ascii="Calibri" w:hAnsi="Calibri"/>
                <w:sz w:val="22"/>
              </w:rPr>
              <w:t>$1,369.6M</w:t>
            </w:r>
          </w:p>
        </w:tc>
        <w:tc>
          <w:tcPr>
            <w:tcW w:type="dxa" w:w="1234"/>
          </w:tcPr>
          <w:p>
            <w:r>
              <w:rPr>
                <w:rFonts w:ascii="Calibri" w:hAnsi="Calibri"/>
                <w:sz w:val="22"/>
              </w:rPr>
              <w:t>+10.2%</w:t>
            </w:r>
          </w:p>
        </w:tc>
        <w:tc>
          <w:tcPr>
            <w:tcW w:type="dxa" w:w="1234"/>
          </w:tcPr>
          <w:p>
            <w:r>
              <w:rPr>
                <w:rFonts w:ascii="Calibri" w:hAnsi="Calibri"/>
                <w:sz w:val="22"/>
              </w:rPr>
              <w:t>Gross margin expansion led by AUR &amp; mix</w:t>
            </w:r>
          </w:p>
        </w:tc>
        <w:tc>
          <w:tcPr>
            <w:tcW w:type="dxa" w:w="1234"/>
          </w:tcPr>
          <w:p>
            <w:r>
              <w:rPr>
                <w:rFonts w:ascii="Calibri" w:hAnsi="Calibri"/>
                <w:sz w:val="22"/>
              </w:rPr>
              <w:t>Consistent with guided expansion</w:t>
            </w:r>
          </w:p>
        </w:tc>
      </w:tr>
      <w:tr>
        <w:tc>
          <w:tcPr>
            <w:tcW w:type="dxa" w:w="1234"/>
          </w:tcPr>
          <w:p>
            <w:r>
              <w:rPr>
                <w:rFonts w:ascii="Calibri" w:hAnsi="Calibri"/>
                <w:sz w:val="22"/>
              </w:rPr>
              <w:t>Operating Income — Operating ($M)</w:t>
            </w:r>
          </w:p>
        </w:tc>
        <w:tc>
          <w:tcPr>
            <w:tcW w:type="dxa" w:w="1234"/>
          </w:tcPr>
          <w:p>
            <w:r>
              <w:rPr>
                <w:rFonts w:ascii="Calibri" w:hAnsi="Calibri"/>
                <w:sz w:val="22"/>
              </w:rPr>
              <w:t>$218.3M</w:t>
            </w:r>
          </w:p>
        </w:tc>
        <w:tc>
          <w:tcPr>
            <w:tcW w:type="dxa" w:w="1234"/>
          </w:tcPr>
          <w:p>
            <w:r>
              <w:rPr>
                <w:rFonts w:ascii="Calibri" w:hAnsi="Calibri"/>
                <w:sz w:val="22"/>
              </w:rPr>
              <w:t>$292.9M</w:t>
            </w:r>
          </w:p>
        </w:tc>
        <w:tc>
          <w:tcPr>
            <w:tcW w:type="dxa" w:w="1234"/>
          </w:tcPr>
          <w:p>
            <w:r>
              <w:rPr>
                <w:rFonts w:ascii="Calibri" w:hAnsi="Calibri"/>
                <w:sz w:val="22"/>
              </w:rPr>
              <w:t>$342.8M</w:t>
            </w:r>
          </w:p>
        </w:tc>
        <w:tc>
          <w:tcPr>
            <w:tcW w:type="dxa" w:w="1234"/>
          </w:tcPr>
          <w:p>
            <w:r>
              <w:rPr>
                <w:rFonts w:ascii="Calibri" w:hAnsi="Calibri"/>
                <w:sz w:val="22"/>
              </w:rPr>
              <w:t>+17.0%</w:t>
            </w:r>
          </w:p>
        </w:tc>
        <w:tc>
          <w:tcPr>
            <w:tcW w:type="dxa" w:w="1234"/>
          </w:tcPr>
          <w:p>
            <w:r>
              <w:rPr>
                <w:rFonts w:ascii="Calibri" w:hAnsi="Calibri"/>
                <w:sz w:val="22"/>
              </w:rPr>
              <w:t>+80–120 bps CC operating margin expansion</w:t>
            </w:r>
          </w:p>
        </w:tc>
        <w:tc>
          <w:tcPr>
            <w:tcW w:type="dxa" w:w="1234"/>
          </w:tcPr>
          <w:p>
            <w:r>
              <w:rPr>
                <w:rFonts w:ascii="Calibri" w:hAnsi="Calibri"/>
                <w:sz w:val="22"/>
              </w:rPr>
              <w:t>Consistent with guided range</w:t>
            </w:r>
          </w:p>
        </w:tc>
      </w:tr>
      <w:tr>
        <w:tc>
          <w:tcPr>
            <w:tcW w:type="dxa" w:w="1234"/>
          </w:tcPr>
          <w:p>
            <w:r>
              <w:rPr>
                <w:rFonts w:ascii="Calibri" w:hAnsi="Calibri"/>
                <w:sz w:val="22"/>
              </w:rPr>
              <w:t>Revenue — North America ($M)</w:t>
            </w:r>
          </w:p>
        </w:tc>
        <w:tc>
          <w:tcPr>
            <w:tcW w:type="dxa" w:w="1234"/>
          </w:tcPr>
          <w:p>
            <w:r>
              <w:rPr>
                <w:rFonts w:ascii="Calibri" w:hAnsi="Calibri"/>
                <w:sz w:val="22"/>
              </w:rPr>
              <w:t>$762.7M</w:t>
            </w:r>
          </w:p>
        </w:tc>
        <w:tc>
          <w:tcPr>
            <w:tcW w:type="dxa" w:w="1234"/>
          </w:tcPr>
          <w:p>
            <w:r>
              <w:rPr>
                <w:rFonts w:ascii="Calibri" w:hAnsi="Calibri"/>
                <w:sz w:val="22"/>
              </w:rPr>
              <w:t>$656.2M</w:t>
            </w:r>
          </w:p>
        </w:tc>
        <w:tc>
          <w:tcPr>
            <w:tcW w:type="dxa" w:w="1234"/>
          </w:tcPr>
          <w:p>
            <w:r>
              <w:rPr>
                <w:rFonts w:ascii="Calibri" w:hAnsi="Calibri"/>
                <w:sz w:val="22"/>
              </w:rPr>
              <w:t>$693.6M</w:t>
            </w:r>
          </w:p>
        </w:tc>
        <w:tc>
          <w:tcPr>
            <w:tcW w:type="dxa" w:w="1234"/>
          </w:tcPr>
          <w:p>
            <w:r>
              <w:rPr>
                <w:rFonts w:ascii="Calibri" w:hAnsi="Calibri"/>
                <w:sz w:val="22"/>
              </w:rPr>
              <w:t>+5.7%</w:t>
            </w:r>
          </w:p>
        </w:tc>
        <w:tc>
          <w:tcPr>
            <w:tcW w:type="dxa" w:w="1234"/>
          </w:tcPr>
          <w:p>
            <w:r>
              <w:rPr>
                <w:rFonts w:ascii="Calibri" w:hAnsi="Calibri"/>
                <w:sz w:val="22"/>
              </w:rPr>
              <w:t>Low-single-digit growth (FY27 guide)</w:t>
            </w:r>
          </w:p>
        </w:tc>
        <w:tc>
          <w:tcPr>
            <w:tcW w:type="dxa" w:w="1234"/>
          </w:tcPr>
          <w:p>
            <w:r>
              <w:rPr>
                <w:rFonts w:ascii="Calibri" w:hAnsi="Calibri"/>
                <w:sz w:val="22"/>
              </w:rPr>
              <w:t>Consistent with guided range</w:t>
            </w:r>
          </w:p>
        </w:tc>
      </w:tr>
      <w:tr>
        <w:tc>
          <w:tcPr>
            <w:tcW w:type="dxa" w:w="1234"/>
          </w:tcPr>
          <w:p>
            <w:r>
              <w:rPr>
                <w:rFonts w:ascii="Calibri" w:hAnsi="Calibri"/>
                <w:sz w:val="22"/>
              </w:rPr>
              <w:t>Revenue — Europe ($M)</w:t>
            </w:r>
          </w:p>
        </w:tc>
        <w:tc>
          <w:tcPr>
            <w:tcW w:type="dxa" w:w="1234"/>
          </w:tcPr>
          <w:p>
            <w:r>
              <w:rPr>
                <w:rFonts w:ascii="Calibri" w:hAnsi="Calibri"/>
                <w:sz w:val="22"/>
              </w:rPr>
              <w:t>$619.6M</w:t>
            </w:r>
          </w:p>
        </w:tc>
        <w:tc>
          <w:tcPr>
            <w:tcW w:type="dxa" w:w="1234"/>
          </w:tcPr>
          <w:p>
            <w:r>
              <w:rPr>
                <w:rFonts w:ascii="Calibri" w:hAnsi="Calibri"/>
                <w:sz w:val="22"/>
              </w:rPr>
              <w:t>$554.5M</w:t>
            </w:r>
          </w:p>
        </w:tc>
        <w:tc>
          <w:tcPr>
            <w:tcW w:type="dxa" w:w="1234"/>
          </w:tcPr>
          <w:p>
            <w:r>
              <w:rPr>
                <w:rFonts w:ascii="Calibri" w:hAnsi="Calibri"/>
                <w:sz w:val="22"/>
              </w:rPr>
              <w:t>$591.8M</w:t>
            </w:r>
          </w:p>
        </w:tc>
        <w:tc>
          <w:tcPr>
            <w:tcW w:type="dxa" w:w="1234"/>
          </w:tcPr>
          <w:p>
            <w:r>
              <w:rPr>
                <w:rFonts w:ascii="Calibri" w:hAnsi="Calibri"/>
                <w:sz w:val="22"/>
              </w:rPr>
              <w:t>+6.7%</w:t>
            </w:r>
          </w:p>
        </w:tc>
        <w:tc>
          <w:tcPr>
            <w:tcW w:type="dxa" w:w="1234"/>
          </w:tcPr>
          <w:p>
            <w:r>
              <w:rPr>
                <w:rFonts w:ascii="Calibri" w:hAnsi="Calibri"/>
                <w:sz w:val="22"/>
              </w:rPr>
              <w:t>Low-to-mid-single-digit CC growth; strongest Q1 expected</w:t>
            </w:r>
          </w:p>
        </w:tc>
        <w:tc>
          <w:tcPr>
            <w:tcW w:type="dxa" w:w="1234"/>
          </w:tcPr>
          <w:p>
            <w:r>
              <w:rPr>
                <w:rFonts w:ascii="Calibri" w:hAnsi="Calibri"/>
                <w:sz w:val="22"/>
              </w:rPr>
              <w:t>Consistent with guided range</w:t>
            </w:r>
          </w:p>
        </w:tc>
      </w:tr>
      <w:tr>
        <w:tc>
          <w:tcPr>
            <w:tcW w:type="dxa" w:w="1234"/>
          </w:tcPr>
          <w:p>
            <w:r>
              <w:rPr>
                <w:rFonts w:ascii="Calibri" w:hAnsi="Calibri"/>
                <w:sz w:val="22"/>
              </w:rPr>
              <w:t>Revenue — Asia ($M)</w:t>
            </w:r>
          </w:p>
        </w:tc>
        <w:tc>
          <w:tcPr>
            <w:tcW w:type="dxa" w:w="1234"/>
          </w:tcPr>
          <w:p>
            <w:r>
              <w:rPr>
                <w:rFonts w:ascii="Calibri" w:hAnsi="Calibri"/>
                <w:sz w:val="22"/>
              </w:rPr>
              <w:t>$563.6M</w:t>
            </w:r>
          </w:p>
        </w:tc>
        <w:tc>
          <w:tcPr>
            <w:tcW w:type="dxa" w:w="1234"/>
          </w:tcPr>
          <w:p>
            <w:r>
              <w:rPr>
                <w:rFonts w:ascii="Calibri" w:hAnsi="Calibri"/>
                <w:sz w:val="22"/>
              </w:rPr>
              <w:t>$474.0M</w:t>
            </w:r>
          </w:p>
        </w:tc>
        <w:tc>
          <w:tcPr>
            <w:tcW w:type="dxa" w:w="1234"/>
          </w:tcPr>
          <w:p>
            <w:r>
              <w:rPr>
                <w:rFonts w:ascii="Calibri" w:hAnsi="Calibri"/>
                <w:sz w:val="22"/>
              </w:rPr>
              <w:t>$545.6M</w:t>
            </w:r>
          </w:p>
        </w:tc>
        <w:tc>
          <w:tcPr>
            <w:tcW w:type="dxa" w:w="1234"/>
          </w:tcPr>
          <w:p>
            <w:r>
              <w:rPr>
                <w:rFonts w:ascii="Calibri" w:hAnsi="Calibri"/>
                <w:sz w:val="22"/>
              </w:rPr>
              <w:t>+15.1%</w:t>
            </w:r>
          </w:p>
        </w:tc>
        <w:tc>
          <w:tcPr>
            <w:tcW w:type="dxa" w:w="1234"/>
          </w:tcPr>
          <w:p>
            <w:r>
              <w:rPr>
                <w:rFonts w:ascii="Calibri" w:hAnsi="Calibri"/>
                <w:sz w:val="22"/>
              </w:rPr>
              <w:t>High-single-digit CC growth; China mid-teens</w:t>
            </w:r>
          </w:p>
        </w:tc>
        <w:tc>
          <w:tcPr>
            <w:tcW w:type="dxa" w:w="1234"/>
          </w:tcPr>
          <w:p>
            <w:r>
              <w:rPr>
                <w:rFonts w:ascii="Calibri" w:hAnsi="Calibri"/>
                <w:sz w:val="22"/>
              </w:rPr>
              <w:t>Consistent with guided range</w:t>
            </w:r>
          </w:p>
        </w:tc>
      </w:tr>
    </w:tbl>
    <w:p>
      <w:r>
        <w:rPr>
          <w:rFonts w:ascii="Calibri" w:hAnsi="Calibri"/>
          <w:color w:val="525866"/>
          <w:sz w:val="22"/>
        </w:rPr>
        <w:t>Source: Visible Alpha Consensus and Actuals Data. All consensus figures as of August 5, 2026. Guidance from Q4 FY2026 earnings call (May 21, 2026).</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Net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FY2026</w:t>
            </w:r>
          </w:p>
        </w:tc>
        <w:tc>
          <w:tcPr>
            <w:tcW w:type="dxa" w:w="1728"/>
          </w:tcPr>
          <w:p>
            <w:r>
              <w:rPr>
                <w:rFonts w:ascii="Calibri" w:hAnsi="Calibri"/>
                <w:sz w:val="22"/>
              </w:rPr>
              <w:t>$1,978.7</w:t>
            </w:r>
          </w:p>
        </w:tc>
        <w:tc>
          <w:tcPr>
            <w:tcW w:type="dxa" w:w="1728"/>
          </w:tcPr>
          <w:p>
            <w:r>
              <w:rPr>
                <w:rFonts w:ascii="Calibri" w:hAnsi="Calibri"/>
                <w:sz w:val="22"/>
              </w:rPr>
              <w:t>$1,849.1</w:t>
            </w:r>
          </w:p>
        </w:tc>
        <w:tc>
          <w:tcPr>
            <w:tcW w:type="dxa" w:w="1728"/>
          </w:tcPr>
          <w:p>
            <w:r>
              <w:rPr>
                <w:rFonts w:ascii="Calibri" w:hAnsi="Calibri"/>
                <w:b/>
                <w:color w:val="30A46C"/>
                <w:sz w:val="22"/>
              </w:rPr>
              <w:t>+7.0%</w:t>
            </w:r>
          </w:p>
        </w:tc>
        <w:tc>
          <w:tcPr>
            <w:tcW w:type="dxa" w:w="1728"/>
          </w:tcPr>
          <w:p>
            <w:r>
              <w:rPr>
                <w:rFonts w:ascii="Calibri" w:hAnsi="Calibri"/>
                <w:sz w:val="22"/>
              </w:rPr>
              <w:t>Beat</w:t>
            </w:r>
          </w:p>
        </w:tc>
      </w:tr>
      <w:tr>
        <w:tc>
          <w:tcPr>
            <w:tcW w:type="dxa" w:w="1728"/>
          </w:tcPr>
          <w:p>
            <w:r>
              <w:rPr>
                <w:rFonts w:ascii="Calibri" w:hAnsi="Calibri"/>
                <w:sz w:val="22"/>
              </w:rPr>
              <w:t>Q3 FY2026</w:t>
            </w:r>
          </w:p>
        </w:tc>
        <w:tc>
          <w:tcPr>
            <w:tcW w:type="dxa" w:w="1728"/>
          </w:tcPr>
          <w:p>
            <w:r>
              <w:rPr>
                <w:rFonts w:ascii="Calibri" w:hAnsi="Calibri"/>
                <w:sz w:val="22"/>
              </w:rPr>
              <w:t>$2,406.0</w:t>
            </w:r>
          </w:p>
        </w:tc>
        <w:tc>
          <w:tcPr>
            <w:tcW w:type="dxa" w:w="1728"/>
          </w:tcPr>
          <w:p>
            <w:r>
              <w:rPr>
                <w:rFonts w:ascii="Calibri" w:hAnsi="Calibri"/>
                <w:sz w:val="22"/>
              </w:rPr>
              <w:t>$2,319.1</w:t>
            </w:r>
          </w:p>
        </w:tc>
        <w:tc>
          <w:tcPr>
            <w:tcW w:type="dxa" w:w="1728"/>
          </w:tcPr>
          <w:p>
            <w:r>
              <w:rPr>
                <w:rFonts w:ascii="Calibri" w:hAnsi="Calibri"/>
                <w:b/>
                <w:color w:val="30A46C"/>
                <w:sz w:val="22"/>
              </w:rPr>
              <w:t>+3.7%</w:t>
            </w:r>
          </w:p>
        </w:tc>
        <w:tc>
          <w:tcPr>
            <w:tcW w:type="dxa" w:w="1728"/>
          </w:tcPr>
          <w:p>
            <w:r>
              <w:rPr>
                <w:rFonts w:ascii="Calibri" w:hAnsi="Calibri"/>
                <w:sz w:val="22"/>
              </w:rPr>
              <w:t>Beat</w:t>
            </w:r>
          </w:p>
        </w:tc>
      </w:tr>
      <w:tr>
        <w:tc>
          <w:tcPr>
            <w:tcW w:type="dxa" w:w="1728"/>
          </w:tcPr>
          <w:p>
            <w:r>
              <w:rPr>
                <w:rFonts w:ascii="Calibri" w:hAnsi="Calibri"/>
                <w:sz w:val="22"/>
              </w:rPr>
              <w:t>Q2 FY2026</w:t>
            </w:r>
          </w:p>
        </w:tc>
        <w:tc>
          <w:tcPr>
            <w:tcW w:type="dxa" w:w="1728"/>
          </w:tcPr>
          <w:p>
            <w:r>
              <w:rPr>
                <w:rFonts w:ascii="Calibri" w:hAnsi="Calibri"/>
                <w:sz w:val="22"/>
              </w:rPr>
              <w:t>$2,010.7</w:t>
            </w:r>
          </w:p>
        </w:tc>
        <w:tc>
          <w:tcPr>
            <w:tcW w:type="dxa" w:w="1728"/>
          </w:tcPr>
          <w:p>
            <w:r>
              <w:rPr>
                <w:rFonts w:ascii="Calibri" w:hAnsi="Calibri"/>
                <w:sz w:val="22"/>
              </w:rPr>
              <w:t>$1,888.9</w:t>
            </w:r>
          </w:p>
        </w:tc>
        <w:tc>
          <w:tcPr>
            <w:tcW w:type="dxa" w:w="1728"/>
          </w:tcPr>
          <w:p>
            <w:r>
              <w:rPr>
                <w:rFonts w:ascii="Calibri" w:hAnsi="Calibri"/>
                <w:b/>
                <w:color w:val="30A46C"/>
                <w:sz w:val="22"/>
              </w:rPr>
              <w:t>+6.4%</w:t>
            </w:r>
          </w:p>
        </w:tc>
        <w:tc>
          <w:tcPr>
            <w:tcW w:type="dxa" w:w="1728"/>
          </w:tcPr>
          <w:p>
            <w:r>
              <w:rPr>
                <w:rFonts w:ascii="Calibri" w:hAnsi="Calibri"/>
                <w:sz w:val="22"/>
              </w:rPr>
              <w:t>Beat</w:t>
            </w:r>
          </w:p>
        </w:tc>
      </w:tr>
      <w:tr>
        <w:tc>
          <w:tcPr>
            <w:tcW w:type="dxa" w:w="1728"/>
          </w:tcPr>
          <w:p>
            <w:r>
              <w:rPr>
                <w:rFonts w:ascii="Calibri" w:hAnsi="Calibri"/>
                <w:sz w:val="22"/>
              </w:rPr>
              <w:t>Q1 FY2026</w:t>
            </w:r>
          </w:p>
        </w:tc>
        <w:tc>
          <w:tcPr>
            <w:tcW w:type="dxa" w:w="1728"/>
          </w:tcPr>
          <w:p>
            <w:r>
              <w:rPr>
                <w:rFonts w:ascii="Calibri" w:hAnsi="Calibri"/>
                <w:sz w:val="22"/>
              </w:rPr>
              <w:t>$1,719.1</w:t>
            </w:r>
          </w:p>
        </w:tc>
        <w:tc>
          <w:tcPr>
            <w:tcW w:type="dxa" w:w="1728"/>
          </w:tcPr>
          <w:p>
            <w:r>
              <w:rPr>
                <w:rFonts w:ascii="Calibri" w:hAnsi="Calibri"/>
                <w:sz w:val="22"/>
              </w:rPr>
              <w:t>$1,658.9</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Q4 FY2025</w:t>
            </w:r>
          </w:p>
        </w:tc>
        <w:tc>
          <w:tcPr>
            <w:tcW w:type="dxa" w:w="1728"/>
          </w:tcPr>
          <w:p>
            <w:r>
              <w:rPr>
                <w:rFonts w:ascii="Calibri" w:hAnsi="Calibri"/>
                <w:sz w:val="22"/>
              </w:rPr>
              <w:t>$1,697.3</w:t>
            </w:r>
          </w:p>
        </w:tc>
        <w:tc>
          <w:tcPr>
            <w:tcW w:type="dxa" w:w="1728"/>
          </w:tcPr>
          <w:p>
            <w:r>
              <w:rPr>
                <w:rFonts w:ascii="Calibri" w:hAnsi="Calibri"/>
                <w:sz w:val="22"/>
              </w:rPr>
              <w:t>$1,645.4</w:t>
            </w:r>
          </w:p>
        </w:tc>
        <w:tc>
          <w:tcPr>
            <w:tcW w:type="dxa" w:w="1728"/>
          </w:tcPr>
          <w:p>
            <w:r>
              <w:rPr>
                <w:rFonts w:ascii="Calibri" w:hAnsi="Calibri"/>
                <w:b/>
                <w:color w:val="30A46C"/>
                <w:sz w:val="22"/>
              </w:rPr>
              <w:t>+3.2%</w:t>
            </w:r>
          </w:p>
        </w:tc>
        <w:tc>
          <w:tcPr>
            <w:tcW w:type="dxa" w:w="1728"/>
          </w:tcPr>
          <w:p>
            <w:r>
              <w:rPr>
                <w:rFonts w:ascii="Calibri" w:hAnsi="Calibri"/>
                <w:sz w:val="22"/>
              </w:rPr>
              <w:t>Beat</w:t>
            </w:r>
          </w:p>
        </w:tc>
      </w:tr>
      <w:tr>
        <w:tc>
          <w:tcPr>
            <w:tcW w:type="dxa" w:w="1728"/>
          </w:tcPr>
          <w:p>
            <w:r>
              <w:rPr>
                <w:rFonts w:ascii="Calibri" w:hAnsi="Calibri"/>
                <w:sz w:val="22"/>
              </w:rPr>
              <w:t>Q3 FY2025</w:t>
            </w:r>
          </w:p>
        </w:tc>
        <w:tc>
          <w:tcPr>
            <w:tcW w:type="dxa" w:w="1728"/>
          </w:tcPr>
          <w:p>
            <w:r>
              <w:rPr>
                <w:rFonts w:ascii="Calibri" w:hAnsi="Calibri"/>
                <w:sz w:val="22"/>
              </w:rPr>
              <w:t>$2,143.5</w:t>
            </w:r>
          </w:p>
        </w:tc>
        <w:tc>
          <w:tcPr>
            <w:tcW w:type="dxa" w:w="1728"/>
          </w:tcPr>
          <w:p>
            <w:r>
              <w:rPr>
                <w:rFonts w:ascii="Calibri" w:hAnsi="Calibri"/>
                <w:sz w:val="22"/>
              </w:rPr>
              <w:t>$2,012.9</w:t>
            </w:r>
          </w:p>
        </w:tc>
        <w:tc>
          <w:tcPr>
            <w:tcW w:type="dxa" w:w="1728"/>
          </w:tcPr>
          <w:p>
            <w:r>
              <w:rPr>
                <w:rFonts w:ascii="Calibri" w:hAnsi="Calibri"/>
                <w:b/>
                <w:color w:val="30A46C"/>
                <w:sz w:val="22"/>
              </w:rPr>
              <w:t>+6.5%</w:t>
            </w:r>
          </w:p>
        </w:tc>
        <w:tc>
          <w:tcPr>
            <w:tcW w:type="dxa" w:w="1728"/>
          </w:tcPr>
          <w:p>
            <w:r>
              <w:rPr>
                <w:rFonts w:ascii="Calibri" w:hAnsi="Calibri"/>
                <w:sz w:val="22"/>
              </w:rPr>
              <w:t>Beat</w:t>
            </w:r>
          </w:p>
        </w:tc>
      </w:tr>
      <w:tr>
        <w:tc>
          <w:tcPr>
            <w:tcW w:type="dxa" w:w="1728"/>
          </w:tcPr>
          <w:p>
            <w:r>
              <w:rPr>
                <w:rFonts w:ascii="Calibri" w:hAnsi="Calibri"/>
                <w:sz w:val="22"/>
              </w:rPr>
              <w:t>Q2 FY2025</w:t>
            </w:r>
          </w:p>
        </w:tc>
        <w:tc>
          <w:tcPr>
            <w:tcW w:type="dxa" w:w="1728"/>
          </w:tcPr>
          <w:p>
            <w:r>
              <w:rPr>
                <w:rFonts w:ascii="Calibri" w:hAnsi="Calibri"/>
                <w:sz w:val="22"/>
              </w:rPr>
              <w:t>$1,726.0</w:t>
            </w:r>
          </w:p>
        </w:tc>
        <w:tc>
          <w:tcPr>
            <w:tcW w:type="dxa" w:w="1728"/>
          </w:tcPr>
          <w:p>
            <w:r>
              <w:rPr>
                <w:rFonts w:ascii="Calibri" w:hAnsi="Calibri"/>
                <w:sz w:val="22"/>
              </w:rPr>
              <w:t>$1,681.6</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Q1 FY2025</w:t>
            </w:r>
          </w:p>
        </w:tc>
        <w:tc>
          <w:tcPr>
            <w:tcW w:type="dxa" w:w="1728"/>
          </w:tcPr>
          <w:p>
            <w:r>
              <w:rPr>
                <w:rFonts w:ascii="Calibri" w:hAnsi="Calibri"/>
                <w:sz w:val="22"/>
              </w:rPr>
              <w:t>N/A — outside 8Q window</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bl>
    <w:p>
      <w:pPr>
        <w:pStyle w:val="Heading3"/>
      </w:pPr>
      <w:r>
        <w:rPr>
          <w:rFonts w:ascii="Calibri" w:hAnsi="Calibri"/>
          <w:b/>
          <w:color w:val="3B4259"/>
          <w:sz w:val="24"/>
        </w:rPr>
        <w:t>Diluted EPS —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FY2026</w:t>
            </w:r>
          </w:p>
        </w:tc>
        <w:tc>
          <w:tcPr>
            <w:tcW w:type="dxa" w:w="1728"/>
          </w:tcPr>
          <w:p>
            <w:r>
              <w:rPr>
                <w:rFonts w:ascii="Calibri" w:hAnsi="Calibri"/>
                <w:sz w:val="22"/>
              </w:rPr>
              <w:t>$2.80</w:t>
            </w:r>
          </w:p>
        </w:tc>
        <w:tc>
          <w:tcPr>
            <w:tcW w:type="dxa" w:w="1728"/>
          </w:tcPr>
          <w:p>
            <w:r>
              <w:rPr>
                <w:rFonts w:ascii="Calibri" w:hAnsi="Calibri"/>
                <w:sz w:val="22"/>
              </w:rPr>
              <w:t>$2.55</w:t>
            </w:r>
          </w:p>
        </w:tc>
        <w:tc>
          <w:tcPr>
            <w:tcW w:type="dxa" w:w="1728"/>
          </w:tcPr>
          <w:p>
            <w:r>
              <w:rPr>
                <w:rFonts w:ascii="Calibri" w:hAnsi="Calibri"/>
                <w:b/>
                <w:color w:val="30A46C"/>
                <w:sz w:val="22"/>
              </w:rPr>
              <w:t>+10.0%</w:t>
            </w:r>
          </w:p>
        </w:tc>
        <w:tc>
          <w:tcPr>
            <w:tcW w:type="dxa" w:w="1728"/>
          </w:tcPr>
          <w:p>
            <w:r>
              <w:rPr>
                <w:rFonts w:ascii="Calibri" w:hAnsi="Calibri"/>
                <w:sz w:val="22"/>
              </w:rPr>
              <w:t>Beat</w:t>
            </w:r>
          </w:p>
        </w:tc>
      </w:tr>
      <w:tr>
        <w:tc>
          <w:tcPr>
            <w:tcW w:type="dxa" w:w="1728"/>
          </w:tcPr>
          <w:p>
            <w:r>
              <w:rPr>
                <w:rFonts w:ascii="Calibri" w:hAnsi="Calibri"/>
                <w:sz w:val="22"/>
              </w:rPr>
              <w:t>Q3 FY2026</w:t>
            </w:r>
          </w:p>
        </w:tc>
        <w:tc>
          <w:tcPr>
            <w:tcW w:type="dxa" w:w="1728"/>
          </w:tcPr>
          <w:p>
            <w:r>
              <w:rPr>
                <w:rFonts w:ascii="Calibri" w:hAnsi="Calibri"/>
                <w:sz w:val="22"/>
              </w:rPr>
              <w:t>$6.22</w:t>
            </w:r>
          </w:p>
        </w:tc>
        <w:tc>
          <w:tcPr>
            <w:tcW w:type="dxa" w:w="1728"/>
          </w:tcPr>
          <w:p>
            <w:r>
              <w:rPr>
                <w:rFonts w:ascii="Calibri" w:hAnsi="Calibri"/>
                <w:sz w:val="22"/>
              </w:rPr>
              <w:t>$5.84</w:t>
            </w:r>
          </w:p>
        </w:tc>
        <w:tc>
          <w:tcPr>
            <w:tcW w:type="dxa" w:w="1728"/>
          </w:tcPr>
          <w:p>
            <w:r>
              <w:rPr>
                <w:rFonts w:ascii="Calibri" w:hAnsi="Calibri"/>
                <w:b/>
                <w:color w:val="30A46C"/>
                <w:sz w:val="22"/>
              </w:rPr>
              <w:t>+6.5%</w:t>
            </w:r>
          </w:p>
        </w:tc>
        <w:tc>
          <w:tcPr>
            <w:tcW w:type="dxa" w:w="1728"/>
          </w:tcPr>
          <w:p>
            <w:r>
              <w:rPr>
                <w:rFonts w:ascii="Calibri" w:hAnsi="Calibri"/>
                <w:sz w:val="22"/>
              </w:rPr>
              <w:t>Beat</w:t>
            </w:r>
          </w:p>
        </w:tc>
      </w:tr>
      <w:tr>
        <w:tc>
          <w:tcPr>
            <w:tcW w:type="dxa" w:w="1728"/>
          </w:tcPr>
          <w:p>
            <w:r>
              <w:rPr>
                <w:rFonts w:ascii="Calibri" w:hAnsi="Calibri"/>
                <w:sz w:val="22"/>
              </w:rPr>
              <w:t>Q2 FY2026</w:t>
            </w:r>
          </w:p>
        </w:tc>
        <w:tc>
          <w:tcPr>
            <w:tcW w:type="dxa" w:w="1728"/>
          </w:tcPr>
          <w:p>
            <w:r>
              <w:rPr>
                <w:rFonts w:ascii="Calibri" w:hAnsi="Calibri"/>
                <w:sz w:val="22"/>
              </w:rPr>
              <w:t>$3.79</w:t>
            </w:r>
          </w:p>
        </w:tc>
        <w:tc>
          <w:tcPr>
            <w:tcW w:type="dxa" w:w="1728"/>
          </w:tcPr>
          <w:p>
            <w:r>
              <w:rPr>
                <w:rFonts w:ascii="Calibri" w:hAnsi="Calibri"/>
                <w:sz w:val="22"/>
              </w:rPr>
              <w:t>$3.45</w:t>
            </w:r>
          </w:p>
        </w:tc>
        <w:tc>
          <w:tcPr>
            <w:tcW w:type="dxa" w:w="1728"/>
          </w:tcPr>
          <w:p>
            <w:r>
              <w:rPr>
                <w:rFonts w:ascii="Calibri" w:hAnsi="Calibri"/>
                <w:b/>
                <w:color w:val="30A46C"/>
                <w:sz w:val="22"/>
              </w:rPr>
              <w:t>+9.9%</w:t>
            </w:r>
          </w:p>
        </w:tc>
        <w:tc>
          <w:tcPr>
            <w:tcW w:type="dxa" w:w="1728"/>
          </w:tcPr>
          <w:p>
            <w:r>
              <w:rPr>
                <w:rFonts w:ascii="Calibri" w:hAnsi="Calibri"/>
                <w:sz w:val="22"/>
              </w:rPr>
              <w:t>Beat</w:t>
            </w:r>
          </w:p>
        </w:tc>
      </w:tr>
      <w:tr>
        <w:tc>
          <w:tcPr>
            <w:tcW w:type="dxa" w:w="1728"/>
          </w:tcPr>
          <w:p>
            <w:r>
              <w:rPr>
                <w:rFonts w:ascii="Calibri" w:hAnsi="Calibri"/>
                <w:sz w:val="22"/>
              </w:rPr>
              <w:t>Q1 FY2026</w:t>
            </w:r>
          </w:p>
        </w:tc>
        <w:tc>
          <w:tcPr>
            <w:tcW w:type="dxa" w:w="1728"/>
          </w:tcPr>
          <w:p>
            <w:r>
              <w:rPr>
                <w:rFonts w:ascii="Calibri" w:hAnsi="Calibri"/>
                <w:sz w:val="22"/>
              </w:rPr>
              <w:t>$3.77</w:t>
            </w:r>
          </w:p>
        </w:tc>
        <w:tc>
          <w:tcPr>
            <w:tcW w:type="dxa" w:w="1728"/>
          </w:tcPr>
          <w:p>
            <w:r>
              <w:rPr>
                <w:rFonts w:ascii="Calibri" w:hAnsi="Calibri"/>
                <w:sz w:val="22"/>
              </w:rPr>
              <w:t>$3.50</w:t>
            </w:r>
          </w:p>
        </w:tc>
        <w:tc>
          <w:tcPr>
            <w:tcW w:type="dxa" w:w="1728"/>
          </w:tcPr>
          <w:p>
            <w:r>
              <w:rPr>
                <w:rFonts w:ascii="Calibri" w:hAnsi="Calibri"/>
                <w:b/>
                <w:color w:val="30A46C"/>
                <w:sz w:val="22"/>
              </w:rPr>
              <w:t>+7.7%</w:t>
            </w:r>
          </w:p>
        </w:tc>
        <w:tc>
          <w:tcPr>
            <w:tcW w:type="dxa" w:w="1728"/>
          </w:tcPr>
          <w:p>
            <w:r>
              <w:rPr>
                <w:rFonts w:ascii="Calibri" w:hAnsi="Calibri"/>
                <w:sz w:val="22"/>
              </w:rPr>
              <w:t>Beat</w:t>
            </w:r>
          </w:p>
        </w:tc>
      </w:tr>
      <w:tr>
        <w:tc>
          <w:tcPr>
            <w:tcW w:type="dxa" w:w="1728"/>
          </w:tcPr>
          <w:p>
            <w:r>
              <w:rPr>
                <w:rFonts w:ascii="Calibri" w:hAnsi="Calibri"/>
                <w:sz w:val="22"/>
              </w:rPr>
              <w:t>Q4 FY2025</w:t>
            </w:r>
          </w:p>
        </w:tc>
        <w:tc>
          <w:tcPr>
            <w:tcW w:type="dxa" w:w="1728"/>
          </w:tcPr>
          <w:p>
            <w:r>
              <w:rPr>
                <w:rFonts w:ascii="Calibri" w:hAnsi="Calibri"/>
                <w:sz w:val="22"/>
              </w:rPr>
              <w:t>$2.27</w:t>
            </w:r>
          </w:p>
        </w:tc>
        <w:tc>
          <w:tcPr>
            <w:tcW w:type="dxa" w:w="1728"/>
          </w:tcPr>
          <w:p>
            <w:r>
              <w:rPr>
                <w:rFonts w:ascii="Calibri" w:hAnsi="Calibri"/>
                <w:sz w:val="22"/>
              </w:rPr>
              <w:t>$1.99</w:t>
            </w:r>
          </w:p>
        </w:tc>
        <w:tc>
          <w:tcPr>
            <w:tcW w:type="dxa" w:w="1728"/>
          </w:tcPr>
          <w:p>
            <w:r>
              <w:rPr>
                <w:rFonts w:ascii="Calibri" w:hAnsi="Calibri"/>
                <w:b/>
                <w:color w:val="30A46C"/>
                <w:sz w:val="22"/>
              </w:rPr>
              <w:t>+14.1%</w:t>
            </w:r>
          </w:p>
        </w:tc>
        <w:tc>
          <w:tcPr>
            <w:tcW w:type="dxa" w:w="1728"/>
          </w:tcPr>
          <w:p>
            <w:r>
              <w:rPr>
                <w:rFonts w:ascii="Calibri" w:hAnsi="Calibri"/>
                <w:sz w:val="22"/>
              </w:rPr>
              <w:t>Beat</w:t>
            </w:r>
          </w:p>
        </w:tc>
      </w:tr>
      <w:tr>
        <w:tc>
          <w:tcPr>
            <w:tcW w:type="dxa" w:w="1728"/>
          </w:tcPr>
          <w:p>
            <w:r>
              <w:rPr>
                <w:rFonts w:ascii="Calibri" w:hAnsi="Calibri"/>
                <w:sz w:val="22"/>
              </w:rPr>
              <w:t>Q3 FY2025</w:t>
            </w:r>
          </w:p>
        </w:tc>
        <w:tc>
          <w:tcPr>
            <w:tcW w:type="dxa" w:w="1728"/>
          </w:tcPr>
          <w:p>
            <w:r>
              <w:rPr>
                <w:rFonts w:ascii="Calibri" w:hAnsi="Calibri"/>
                <w:sz w:val="22"/>
              </w:rPr>
              <w:t>$4.82</w:t>
            </w:r>
          </w:p>
        </w:tc>
        <w:tc>
          <w:tcPr>
            <w:tcW w:type="dxa" w:w="1728"/>
          </w:tcPr>
          <w:p>
            <w:r>
              <w:rPr>
                <w:rFonts w:ascii="Calibri" w:hAnsi="Calibri"/>
                <w:sz w:val="22"/>
              </w:rPr>
              <w:t>$4.53</w:t>
            </w:r>
          </w:p>
        </w:tc>
        <w:tc>
          <w:tcPr>
            <w:tcW w:type="dxa" w:w="1728"/>
          </w:tcPr>
          <w:p>
            <w:r>
              <w:rPr>
                <w:rFonts w:ascii="Calibri" w:hAnsi="Calibri"/>
                <w:b/>
                <w:color w:val="30A46C"/>
                <w:sz w:val="22"/>
              </w:rPr>
              <w:t>+6.4%</w:t>
            </w:r>
          </w:p>
        </w:tc>
        <w:tc>
          <w:tcPr>
            <w:tcW w:type="dxa" w:w="1728"/>
          </w:tcPr>
          <w:p>
            <w:r>
              <w:rPr>
                <w:rFonts w:ascii="Calibri" w:hAnsi="Calibri"/>
                <w:sz w:val="22"/>
              </w:rPr>
              <w:t>Beat</w:t>
            </w:r>
          </w:p>
        </w:tc>
      </w:tr>
      <w:tr>
        <w:tc>
          <w:tcPr>
            <w:tcW w:type="dxa" w:w="1728"/>
          </w:tcPr>
          <w:p>
            <w:r>
              <w:rPr>
                <w:rFonts w:ascii="Calibri" w:hAnsi="Calibri"/>
                <w:sz w:val="22"/>
              </w:rPr>
              <w:t>Q2 FY2025</w:t>
            </w:r>
          </w:p>
        </w:tc>
        <w:tc>
          <w:tcPr>
            <w:tcW w:type="dxa" w:w="1728"/>
          </w:tcPr>
          <w:p>
            <w:r>
              <w:rPr>
                <w:rFonts w:ascii="Calibri" w:hAnsi="Calibri"/>
                <w:sz w:val="22"/>
              </w:rPr>
              <w:t>$2.54</w:t>
            </w:r>
          </w:p>
        </w:tc>
        <w:tc>
          <w:tcPr>
            <w:tcW w:type="dxa" w:w="1728"/>
          </w:tcPr>
          <w:p>
            <w:r>
              <w:rPr>
                <w:rFonts w:ascii="Calibri" w:hAnsi="Calibri"/>
                <w:sz w:val="22"/>
              </w:rPr>
              <w:t>$2.42</w:t>
            </w:r>
          </w:p>
        </w:tc>
        <w:tc>
          <w:tcPr>
            <w:tcW w:type="dxa" w:w="1728"/>
          </w:tcPr>
          <w:p>
            <w:r>
              <w:rPr>
                <w:rFonts w:ascii="Calibri" w:hAnsi="Calibri"/>
                <w:b/>
                <w:color w:val="30A46C"/>
                <w:sz w:val="22"/>
              </w:rPr>
              <w:t>+5.0%</w:t>
            </w:r>
          </w:p>
        </w:tc>
        <w:tc>
          <w:tcPr>
            <w:tcW w:type="dxa" w:w="1728"/>
          </w:tcPr>
          <w:p>
            <w:r>
              <w:rPr>
                <w:rFonts w:ascii="Calibri" w:hAnsi="Calibri"/>
                <w:sz w:val="22"/>
              </w:rPr>
              <w:t>Beat</w:t>
            </w:r>
          </w:p>
        </w:tc>
      </w:tr>
      <w:tr>
        <w:tc>
          <w:tcPr>
            <w:tcW w:type="dxa" w:w="1728"/>
          </w:tcPr>
          <w:p>
            <w:r>
              <w:rPr>
                <w:rFonts w:ascii="Calibri" w:hAnsi="Calibri"/>
                <w:sz w:val="22"/>
              </w:rPr>
              <w:t>Q1 FY2025</w:t>
            </w:r>
          </w:p>
        </w:tc>
        <w:tc>
          <w:tcPr>
            <w:tcW w:type="dxa" w:w="1728"/>
          </w:tcPr>
          <w:p>
            <w:r>
              <w:rPr>
                <w:rFonts w:ascii="Calibri" w:hAnsi="Calibri"/>
                <w:sz w:val="22"/>
              </w:rPr>
              <w:t>N/A — outside 8Q window</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bl>
    <w:p>
      <w:r>
        <w:rPr>
          <w:rFonts w:ascii="Calibri" w:hAnsi="Calibri"/>
          <w:color w:val="525866"/>
          <w:sz w:val="22"/>
        </w:rPr>
        <w:t>Source: Visible Alpha Consensus and Actuals Data. RL has beaten consensus on both revenue and operating EPS in each of the last 7 reported quarters, with revenue beats averaging ~4.8% and EPS beats averaging ~8.5% — a consistent pattern that sets a high implicit bar even as the stated consensus appears conservative.</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No post-earnings guidance revisions have been issued since the May 21, 2026 Q4 FY26 earnings call — the only material corporate event since then was the July 30, 2026 Annual Meeting of Stockholders (routine director elections and auditor ratification). Guidance is unchanged; tone from the last call was the most confident in years.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FY26 Call, May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Q1 FY27 Revenue (CC)</w:t>
            </w:r>
          </w:p>
        </w:tc>
        <w:tc>
          <w:tcPr>
            <w:tcW w:type="dxa" w:w="1728"/>
          </w:tcPr>
          <w:p>
            <w:r>
              <w:rPr>
                <w:rFonts w:ascii="Calibri" w:hAnsi="Calibri"/>
                <w:sz w:val="22"/>
              </w:rPr>
              <w:t>Mid- to high-single-digit growth</w:t>
            </w:r>
          </w:p>
        </w:tc>
        <w:tc>
          <w:tcPr>
            <w:tcW w:type="dxa" w:w="1728"/>
          </w:tcPr>
          <w:p>
            <w:r>
              <w:rPr>
                <w:rFonts w:ascii="Calibri" w:hAnsi="Calibri"/>
                <w:sz w:val="22"/>
              </w:rPr>
              <w:t>—</w:t>
            </w:r>
          </w:p>
        </w:tc>
        <w:tc>
          <w:tcPr>
            <w:tcW w:type="dxa" w:w="1728"/>
          </w:tcPr>
          <w:p>
            <w:r>
              <w:rPr>
                <w:rFonts w:ascii="Calibri" w:hAnsi="Calibri"/>
                <w:sz w:val="22"/>
              </w:rPr>
              <w:t>$1,868.7M (+8.7% reported)</w:t>
            </w:r>
          </w:p>
        </w:tc>
        <w:tc>
          <w:tcPr>
            <w:tcW w:type="dxa" w:w="1728"/>
          </w:tcPr>
          <w:p>
            <w:r>
              <w:rPr>
                <w:rFonts w:ascii="Calibri" w:hAnsi="Calibri"/>
                <w:sz w:val="22"/>
              </w:rPr>
              <w:t>Unchanged. Consensus at low end of guided range.</w:t>
            </w:r>
          </w:p>
        </w:tc>
      </w:tr>
      <w:tr>
        <w:tc>
          <w:tcPr>
            <w:tcW w:type="dxa" w:w="1728"/>
          </w:tcPr>
          <w:p>
            <w:r>
              <w:rPr>
                <w:rFonts w:ascii="Calibri" w:hAnsi="Calibri"/>
                <w:sz w:val="22"/>
              </w:rPr>
              <w:t>Q1 FY27 Operating Margin (CC)</w:t>
            </w:r>
          </w:p>
        </w:tc>
        <w:tc>
          <w:tcPr>
            <w:tcW w:type="dxa" w:w="1728"/>
          </w:tcPr>
          <w:p>
            <w:r>
              <w:rPr>
                <w:rFonts w:ascii="Calibri" w:hAnsi="Calibri"/>
                <w:sz w:val="22"/>
              </w:rPr>
              <w:t>+80 to +120 bps expansion</w:t>
            </w:r>
          </w:p>
        </w:tc>
        <w:tc>
          <w:tcPr>
            <w:tcW w:type="dxa" w:w="1728"/>
          </w:tcPr>
          <w:p>
            <w:r>
              <w:rPr>
                <w:rFonts w:ascii="Calibri" w:hAnsi="Calibri"/>
                <w:sz w:val="22"/>
              </w:rPr>
              <w:t>—</w:t>
            </w:r>
          </w:p>
        </w:tc>
        <w:tc>
          <w:tcPr>
            <w:tcW w:type="dxa" w:w="1728"/>
          </w:tcPr>
          <w:p>
            <w:r>
              <w:rPr>
                <w:rFonts w:ascii="Calibri" w:hAnsi="Calibri"/>
                <w:sz w:val="22"/>
              </w:rPr>
              <w:t>Consistent with guided range</w:t>
            </w:r>
          </w:p>
        </w:tc>
        <w:tc>
          <w:tcPr>
            <w:tcW w:type="dxa" w:w="1728"/>
          </w:tcPr>
          <w:p>
            <w:r>
              <w:rPr>
                <w:rFonts w:ascii="Calibri" w:hAnsi="Calibri"/>
                <w:sz w:val="22"/>
              </w:rPr>
              <w:t>Unchanged. Gross margin expansion led by AUR &amp; mix, offsetting modest tariff headwind.</w:t>
            </w:r>
          </w:p>
        </w:tc>
      </w:tr>
      <w:tr>
        <w:tc>
          <w:tcPr>
            <w:tcW w:type="dxa" w:w="1728"/>
          </w:tcPr>
          <w:p>
            <w:r>
              <w:rPr>
                <w:rFonts w:ascii="Calibri" w:hAnsi="Calibri"/>
                <w:sz w:val="22"/>
              </w:rPr>
              <w:t>Q1 FY27 AUR Growth</w:t>
            </w:r>
          </w:p>
        </w:tc>
        <w:tc>
          <w:tcPr>
            <w:tcW w:type="dxa" w:w="1728"/>
          </w:tcPr>
          <w:p>
            <w:r>
              <w:rPr>
                <w:rFonts w:ascii="Calibri" w:hAnsi="Calibri"/>
                <w:sz w:val="22"/>
              </w:rPr>
              <w:t>High-single-digit, all regions</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Unchanged. Key driver of gross margin expansion.</w:t>
            </w:r>
          </w:p>
        </w:tc>
      </w:tr>
      <w:tr>
        <w:tc>
          <w:tcPr>
            <w:tcW w:type="dxa" w:w="1728"/>
          </w:tcPr>
          <w:p>
            <w:r>
              <w:rPr>
                <w:rFonts w:ascii="Calibri" w:hAnsi="Calibri"/>
                <w:sz w:val="22"/>
              </w:rPr>
              <w:t>Q1 FY27 Tax Rate</w:t>
            </w:r>
          </w:p>
        </w:tc>
        <w:tc>
          <w:tcPr>
            <w:tcW w:type="dxa" w:w="1728"/>
          </w:tcPr>
          <w:p>
            <w:r>
              <w:rPr>
                <w:rFonts w:ascii="Calibri" w:hAnsi="Calibri"/>
                <w:sz w:val="22"/>
              </w:rPr>
              <w:t>22%–23%</w:t>
            </w:r>
          </w:p>
        </w:tc>
        <w:tc>
          <w:tcPr>
            <w:tcW w:type="dxa" w:w="1728"/>
          </w:tcPr>
          <w:p>
            <w:r>
              <w:rPr>
                <w:rFonts w:ascii="Calibri" w:hAnsi="Calibri"/>
                <w:sz w:val="22"/>
              </w:rPr>
              <w:t>—</w:t>
            </w:r>
          </w:p>
        </w:tc>
        <w:tc>
          <w:tcPr>
            <w:tcW w:type="dxa" w:w="1728"/>
          </w:tcPr>
          <w:p>
            <w:r>
              <w:rPr>
                <w:rFonts w:ascii="Calibri" w:hAnsi="Calibri"/>
                <w:sz w:val="22"/>
              </w:rPr>
              <w:t>~22%–23%</w:t>
            </w:r>
          </w:p>
        </w:tc>
        <w:tc>
          <w:tcPr>
            <w:tcW w:type="dxa" w:w="1728"/>
          </w:tcPr>
          <w:p>
            <w:r>
              <w:rPr>
                <w:rFonts w:ascii="Calibri" w:hAnsi="Calibri"/>
                <w:sz w:val="22"/>
              </w:rPr>
              <w:t>Unchanged.</w:t>
            </w:r>
          </w:p>
        </w:tc>
      </w:tr>
      <w:tr>
        <w:tc>
          <w:tcPr>
            <w:tcW w:type="dxa" w:w="1728"/>
          </w:tcPr>
          <w:p>
            <w:r>
              <w:rPr>
                <w:rFonts w:ascii="Calibri" w:hAnsi="Calibri"/>
                <w:sz w:val="22"/>
              </w:rPr>
              <w:t>FY27 Revenue (CC, 52-wk basis)</w:t>
            </w:r>
          </w:p>
        </w:tc>
        <w:tc>
          <w:tcPr>
            <w:tcW w:type="dxa" w:w="1728"/>
          </w:tcPr>
          <w:p>
            <w:r>
              <w:rPr>
                <w:rFonts w:ascii="Calibri" w:hAnsi="Calibri"/>
                <w:sz w:val="22"/>
              </w:rPr>
              <w:t>Mid-single-digit; centered ~4%–5% (+1 pt from 53rd week)</w:t>
            </w:r>
          </w:p>
        </w:tc>
        <w:tc>
          <w:tcPr>
            <w:tcW w:type="dxa" w:w="1728"/>
          </w:tcPr>
          <w:p>
            <w:r>
              <w:rPr>
                <w:rFonts w:ascii="Calibri" w:hAnsi="Calibri"/>
                <w:sz w:val="22"/>
              </w:rPr>
              <w:t>—</w:t>
            </w:r>
          </w:p>
        </w:tc>
        <w:tc>
          <w:tcPr>
            <w:tcW w:type="dxa" w:w="1728"/>
          </w:tcPr>
          <w:p>
            <w:r>
              <w:rPr>
                <w:rFonts w:ascii="Calibri" w:hAnsi="Calibri"/>
                <w:sz w:val="22"/>
              </w:rPr>
              <w:t>$8,631.0M</w:t>
            </w:r>
          </w:p>
        </w:tc>
        <w:tc>
          <w:tcPr>
            <w:tcW w:type="dxa" w:w="1728"/>
          </w:tcPr>
          <w:p>
            <w:r>
              <w:rPr>
                <w:rFonts w:ascii="Calibri" w:hAnsi="Calibri"/>
                <w:sz w:val="22"/>
              </w:rPr>
              <w:t>Unchanged. Consistent with Investor Day targets.</w:t>
            </w:r>
          </w:p>
        </w:tc>
      </w:tr>
      <w:tr>
        <w:tc>
          <w:tcPr>
            <w:tcW w:type="dxa" w:w="1728"/>
          </w:tcPr>
          <w:p>
            <w:r>
              <w:rPr>
                <w:rFonts w:ascii="Calibri" w:hAnsi="Calibri"/>
                <w:sz w:val="22"/>
              </w:rPr>
              <w:t>FY27 Operating Margin (CC)</w:t>
            </w:r>
          </w:p>
        </w:tc>
        <w:tc>
          <w:tcPr>
            <w:tcW w:type="dxa" w:w="1728"/>
          </w:tcPr>
          <w:p>
            <w:r>
              <w:rPr>
                <w:rFonts w:ascii="Calibri" w:hAnsi="Calibri"/>
                <w:sz w:val="22"/>
              </w:rPr>
              <w:t>+40 to +60 bps expansion</w:t>
            </w:r>
          </w:p>
        </w:tc>
        <w:tc>
          <w:tcPr>
            <w:tcW w:type="dxa" w:w="1728"/>
          </w:tcPr>
          <w:p>
            <w:r>
              <w:rPr>
                <w:rFonts w:ascii="Calibri" w:hAnsi="Calibri"/>
                <w:sz w:val="22"/>
              </w:rPr>
              <w:t>—</w:t>
            </w:r>
          </w:p>
        </w:tc>
        <w:tc>
          <w:tcPr>
            <w:tcW w:type="dxa" w:w="1728"/>
          </w:tcPr>
          <w:p>
            <w:r>
              <w:rPr>
                <w:rFonts w:ascii="Calibri" w:hAnsi="Calibri"/>
                <w:sz w:val="22"/>
              </w:rPr>
              <w:t>Consistent with guided range</w:t>
            </w:r>
          </w:p>
        </w:tc>
        <w:tc>
          <w:tcPr>
            <w:tcW w:type="dxa" w:w="1728"/>
          </w:tcPr>
          <w:p>
            <w:r>
              <w:rPr>
                <w:rFonts w:ascii="Calibri" w:hAnsi="Calibri"/>
                <w:sz w:val="22"/>
              </w:rPr>
              <w:t>Unchanged. H1 stronger due to lower tariff rate (10%); H2 assumes tariff step-up.</w:t>
            </w:r>
          </w:p>
        </w:tc>
      </w:tr>
      <w:tr>
        <w:tc>
          <w:tcPr>
            <w:tcW w:type="dxa" w:w="1728"/>
          </w:tcPr>
          <w:p>
            <w:r>
              <w:rPr>
                <w:rFonts w:ascii="Calibri" w:hAnsi="Calibri"/>
                <w:sz w:val="22"/>
              </w:rPr>
              <w:t>FY27 CapEx</w:t>
            </w:r>
          </w:p>
        </w:tc>
        <w:tc>
          <w:tcPr>
            <w:tcW w:type="dxa" w:w="1728"/>
          </w:tcPr>
          <w:p>
            <w:r>
              <w:rPr>
                <w:rFonts w:ascii="Calibri" w:hAnsi="Calibri"/>
                <w:sz w:val="22"/>
              </w:rPr>
              <w:t>~4%–5% of revenue</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Unchanged.</w:t>
            </w:r>
          </w:p>
        </w:tc>
      </w:tr>
      <w:tr>
        <w:tc>
          <w:tcPr>
            <w:tcW w:type="dxa" w:w="1728"/>
          </w:tcPr>
          <w:p>
            <w:r>
              <w:rPr>
                <w:rFonts w:ascii="Calibri" w:hAnsi="Calibri"/>
                <w:sz w:val="22"/>
              </w:rPr>
              <w:t>FY27 Tax Rate</w:t>
            </w:r>
          </w:p>
        </w:tc>
        <w:tc>
          <w:tcPr>
            <w:tcW w:type="dxa" w:w="1728"/>
          </w:tcPr>
          <w:p>
            <w:r>
              <w:rPr>
                <w:rFonts w:ascii="Calibri" w:hAnsi="Calibri"/>
                <w:sz w:val="22"/>
              </w:rPr>
              <w:t>~21%–22%</w:t>
            </w:r>
          </w:p>
        </w:tc>
        <w:tc>
          <w:tcPr>
            <w:tcW w:type="dxa" w:w="1728"/>
          </w:tcPr>
          <w:p>
            <w:r>
              <w:rPr>
                <w:rFonts w:ascii="Calibri" w:hAnsi="Calibri"/>
                <w:sz w:val="22"/>
              </w:rPr>
              <w:t>—</w:t>
            </w:r>
          </w:p>
        </w:tc>
        <w:tc>
          <w:tcPr>
            <w:tcW w:type="dxa" w:w="1728"/>
          </w:tcPr>
          <w:p>
            <w:r>
              <w:rPr>
                <w:rFonts w:ascii="Calibri" w:hAnsi="Calibri"/>
                <w:sz w:val="22"/>
              </w:rPr>
              <w:t>~21%–22%</w:t>
            </w:r>
          </w:p>
        </w:tc>
        <w:tc>
          <w:tcPr>
            <w:tcW w:type="dxa" w:w="1728"/>
          </w:tcPr>
          <w:p>
            <w:r>
              <w:rPr>
                <w:rFonts w:ascii="Calibri" w:hAnsi="Calibri"/>
                <w:sz w:val="22"/>
              </w:rPr>
              <w:t>Unchanged.</w:t>
            </w:r>
          </w:p>
        </w:tc>
      </w:tr>
      <w:tr>
        <w:tc>
          <w:tcPr>
            <w:tcW w:type="dxa" w:w="1728"/>
          </w:tcPr>
          <w:p>
            <w:r>
              <w:rPr>
                <w:rFonts w:ascii="Calibri" w:hAnsi="Calibri"/>
                <w:sz w:val="22"/>
              </w:rPr>
              <w:t>FY27 Marketing Spend</w:t>
            </w:r>
          </w:p>
        </w:tc>
        <w:tc>
          <w:tcPr>
            <w:tcW w:type="dxa" w:w="1728"/>
          </w:tcPr>
          <w:p>
            <w:r>
              <w:rPr>
                <w:rFonts w:ascii="Calibri" w:hAnsi="Calibri"/>
                <w:sz w:val="22"/>
              </w:rPr>
              <w:t>~8% of sales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Growing above revenue growth rate.</w:t>
            </w:r>
          </w:p>
        </w:tc>
      </w:tr>
    </w:tbl>
    <w:p>
      <w:r>
        <w:rPr>
          <w:rFonts w:ascii="Calibri" w:hAnsi="Calibri"/>
          <w:color w:val="525866"/>
          <w:sz w:val="22"/>
        </w:rPr>
        <w:t>Source: Q4 FY2026 Earnings Call Transcript (May 21, 2026); Q4 FY2026 Earnings Press Release (May 21, 2026); Form 8-K (July 31, 2026 — Annual Meeting results only, no guidance update);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Q1 FY27 estimates have drifted modestly higher since the May 21 post-print baseline — EPS up ~+1.9% and revenue up ~+0.7% — tracking guidance rather than diverging from it. The gap between consensus and the guidance midpoint represents cushion, not risk, consistent with RL's pattern of conservative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(as of ~May 29,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21,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Q1 FY27 ($M)</w:t>
            </w:r>
          </w:p>
        </w:tc>
        <w:tc>
          <w:tcPr>
            <w:tcW w:type="dxa" w:w="1080"/>
          </w:tcPr>
          <w:p>
            <w:r>
              <w:rPr>
                <w:rFonts w:ascii="Calibri" w:hAnsi="Calibri"/>
                <w:sz w:val="22"/>
              </w:rPr>
              <w:t>$1,854.9M</w:t>
            </w:r>
          </w:p>
        </w:tc>
        <w:tc>
          <w:tcPr>
            <w:tcW w:type="dxa" w:w="1080"/>
          </w:tcPr>
          <w:p>
            <w:r>
              <w:rPr>
                <w:rFonts w:ascii="Calibri" w:hAnsi="Calibri"/>
                <w:sz w:val="22"/>
              </w:rPr>
              <w:t>$1,868.7M</w:t>
            </w:r>
          </w:p>
        </w:tc>
        <w:tc>
          <w:tcPr>
            <w:tcW w:type="dxa" w:w="1080"/>
          </w:tcPr>
          <w:p>
            <w:r>
              <w:rPr>
                <w:rFonts w:ascii="Calibri" w:hAnsi="Calibri"/>
                <w:b/>
                <w:color w:val="30A46C"/>
                <w:sz w:val="22"/>
              </w:rPr>
              <w:t>+0.7%</w:t>
            </w:r>
          </w:p>
        </w:tc>
        <w:tc>
          <w:tcPr>
            <w:tcW w:type="dxa" w:w="1080"/>
          </w:tcPr>
          <w:p>
            <w:r>
              <w:rPr>
                <w:rFonts w:ascii="Calibri" w:hAnsi="Calibri"/>
                <w:sz w:val="22"/>
              </w:rPr>
              <w:t>Mid- to high-single-digit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guided range</w:t>
            </w:r>
          </w:p>
        </w:tc>
      </w:tr>
      <w:tr>
        <w:tc>
          <w:tcPr>
            <w:tcW w:type="dxa" w:w="1080"/>
          </w:tcPr>
          <w:p>
            <w:r>
              <w:rPr>
                <w:rFonts w:ascii="Calibri" w:hAnsi="Calibri"/>
                <w:sz w:val="22"/>
              </w:rPr>
              <w:t>Diluted EPS — Operating — Q1 FY27 ($)</w:t>
            </w:r>
          </w:p>
        </w:tc>
        <w:tc>
          <w:tcPr>
            <w:tcW w:type="dxa" w:w="1080"/>
          </w:tcPr>
          <w:p>
            <w:r>
              <w:rPr>
                <w:rFonts w:ascii="Calibri" w:hAnsi="Calibri"/>
                <w:sz w:val="22"/>
              </w:rPr>
              <w:t>$4.24</w:t>
            </w:r>
          </w:p>
        </w:tc>
        <w:tc>
          <w:tcPr>
            <w:tcW w:type="dxa" w:w="1080"/>
          </w:tcPr>
          <w:p>
            <w:r>
              <w:rPr>
                <w:rFonts w:ascii="Calibri" w:hAnsi="Calibri"/>
                <w:sz w:val="22"/>
              </w:rPr>
              <w:t>$4.32</w:t>
            </w:r>
          </w:p>
        </w:tc>
        <w:tc>
          <w:tcPr>
            <w:tcW w:type="dxa" w:w="1080"/>
          </w:tcPr>
          <w:p>
            <w:r>
              <w:rPr>
                <w:rFonts w:ascii="Calibri" w:hAnsi="Calibri"/>
                <w:b/>
                <w:color w:val="30A46C"/>
                <w:sz w:val="22"/>
              </w:rPr>
              <w:t>+1.9%</w:t>
            </w:r>
          </w:p>
        </w:tc>
        <w:tc>
          <w:tcPr>
            <w:tcW w:type="dxa" w:w="1080"/>
          </w:tcPr>
          <w:p>
            <w:r>
              <w:rPr>
                <w:rFonts w:ascii="Calibri" w:hAnsi="Calibri"/>
                <w:sz w:val="22"/>
              </w:rPr>
              <w:t>+80–120 bps CC operating margin expansion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guided expansion</w:t>
            </w:r>
          </w:p>
        </w:tc>
      </w:tr>
      <w:tr>
        <w:tc>
          <w:tcPr>
            <w:tcW w:type="dxa" w:w="1080"/>
          </w:tcPr>
          <w:p>
            <w:r>
              <w:rPr>
                <w:rFonts w:ascii="Calibri" w:hAnsi="Calibri"/>
                <w:sz w:val="22"/>
              </w:rPr>
              <w:t>Net Revenue — FY27 ($M)</w:t>
            </w:r>
          </w:p>
        </w:tc>
        <w:tc>
          <w:tcPr>
            <w:tcW w:type="dxa" w:w="1080"/>
          </w:tcPr>
          <w:p>
            <w:r>
              <w:rPr>
                <w:rFonts w:ascii="Calibri" w:hAnsi="Calibri"/>
                <w:sz w:val="22"/>
              </w:rPr>
              <w:t>$8,618.9M</w:t>
            </w:r>
          </w:p>
        </w:tc>
        <w:tc>
          <w:tcPr>
            <w:tcW w:type="dxa" w:w="1080"/>
          </w:tcPr>
          <w:p>
            <w:r>
              <w:rPr>
                <w:rFonts w:ascii="Calibri" w:hAnsi="Calibri"/>
                <w:sz w:val="22"/>
              </w:rPr>
              <w:t>$8,631.0M</w:t>
            </w:r>
          </w:p>
        </w:tc>
        <w:tc>
          <w:tcPr>
            <w:tcW w:type="dxa" w:w="1080"/>
          </w:tcPr>
          <w:p>
            <w:r>
              <w:rPr>
                <w:rFonts w:ascii="Calibri" w:hAnsi="Calibri"/>
                <w:sz w:val="22"/>
              </w:rPr>
              <w:t>+0.1%</w:t>
            </w:r>
          </w:p>
        </w:tc>
        <w:tc>
          <w:tcPr>
            <w:tcW w:type="dxa" w:w="1080"/>
          </w:tcPr>
          <w:p>
            <w:r>
              <w:rPr>
                <w:rFonts w:ascii="Calibri" w:hAnsi="Calibri"/>
                <w:sz w:val="22"/>
              </w:rPr>
              <w:t>Mid-single-digit CC growth (~4%–5% on 52-wk basis + ~1 pt from 53rd week)</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guided range</w:t>
            </w:r>
          </w:p>
        </w:tc>
      </w:tr>
      <w:tr>
        <w:tc>
          <w:tcPr>
            <w:tcW w:type="dxa" w:w="1080"/>
          </w:tcPr>
          <w:p>
            <w:r>
              <w:rPr>
                <w:rFonts w:ascii="Calibri" w:hAnsi="Calibri"/>
                <w:sz w:val="22"/>
              </w:rPr>
              <w:t>Diluted EPS — Operating — FY27 ($)</w:t>
            </w:r>
          </w:p>
        </w:tc>
        <w:tc>
          <w:tcPr>
            <w:tcW w:type="dxa" w:w="1080"/>
          </w:tcPr>
          <w:p>
            <w:r>
              <w:rPr>
                <w:rFonts w:ascii="Calibri" w:hAnsi="Calibri"/>
                <w:sz w:val="22"/>
              </w:rPr>
              <w:t>$18.44</w:t>
            </w:r>
          </w:p>
        </w:tc>
        <w:tc>
          <w:tcPr>
            <w:tcW w:type="dxa" w:w="1080"/>
          </w:tcPr>
          <w:p>
            <w:r>
              <w:rPr>
                <w:rFonts w:ascii="Calibri" w:hAnsi="Calibri"/>
                <w:sz w:val="22"/>
              </w:rPr>
              <w:t>$18.50</w:t>
            </w:r>
          </w:p>
        </w:tc>
        <w:tc>
          <w:tcPr>
            <w:tcW w:type="dxa" w:w="1080"/>
          </w:tcPr>
          <w:p>
            <w:r>
              <w:rPr>
                <w:rFonts w:ascii="Calibri" w:hAnsi="Calibri"/>
                <w:sz w:val="22"/>
              </w:rPr>
              <w:t>+0.3%</w:t>
            </w:r>
          </w:p>
        </w:tc>
        <w:tc>
          <w:tcPr>
            <w:tcW w:type="dxa" w:w="1080"/>
          </w:tcPr>
          <w:p>
            <w:r>
              <w:rPr>
                <w:rFonts w:ascii="Calibri" w:hAnsi="Calibri"/>
                <w:sz w:val="22"/>
              </w:rPr>
              <w:t>+40–60 bps CC operating margin expansion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guided expansion</w:t>
            </w:r>
          </w:p>
        </w:tc>
      </w:tr>
    </w:tbl>
    <w:p>
      <w:r>
        <w:rPr>
          <w:rFonts w:ascii="Calibri" w:hAnsi="Calibri"/>
          <w:color w:val="525866"/>
          <w:sz w:val="22"/>
        </w:rPr>
        <w:t>Source: Visible Alpha Consensus and Actuals Data. Post-earnings baseline as of approximately May 29, 2026 (5 trading days after May 21, 2026 print). Current consensus as of August 5, 2026. Guidance from Q4 FY2026 Earnings Call Transcript and Press Release (May 21, 2026).</w:t>
      </w:r>
    </w:p>
    <w:p>
      <w:r>
        <w:rPr>
          <w:rFonts w:ascii="Calibri" w:hAnsi="Calibri"/>
          <w:color w:val="525866"/>
          <w:sz w:val="22"/>
        </w:rPr>
        <w:t>Estimates have moved modestly higher across all key metrics since the post-print baseline, with Q1 FY27 EPS revisions (+1.9%) outpacing revenue revisions (+0.7%), suggesting the street is incrementally more confident in margin delivery than top-line acceleration. The full-year estimates are essentially flat, indicating no meaningful re-rating of the FY27 outlook since the initial guidance was set.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RL has significantly underperformed the XRT (SPDR S&amp;P Retail ETF) since the May 21 earnings print (+1.6% vs. XRT +11.8%), with the stock's modest gain driven almost entirely by estimate revisions rather than multiple expansion — the NTM EV/EBITDA multiple has actually contracted ~5.4% over the past month, suggesting the market is not pricing in a beat and leaving room for re-rating on a strong Q1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RL vs. XRT (SPDR S&amp;P Retail ETF) vs. S&amp;P 500 — Indexed to 100 at May 21, 2026 (Last Earnings Date). Source: Yahoo Finance /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Price at Last Earnings (May 21, 2026)</w:t>
            </w:r>
          </w:p>
        </w:tc>
        <w:tc>
          <w:tcPr>
            <w:tcW w:type="dxa" w:w="2160"/>
            <w:shd w:val="clear" w:color="auto" w:fill="3B4259"/>
          </w:tcPr>
          <w:p>
            <w:r>
              <w:rPr>
                <w:rFonts w:ascii="Calibri" w:hAnsi="Calibri"/>
                <w:b/>
                <w:color w:val="FFFFFF"/>
                <w:sz w:val="22"/>
              </w:rPr>
              <w:t>Price (Aug 5, 2026)</w:t>
            </w:r>
          </w:p>
        </w:tc>
        <w:tc>
          <w:tcPr>
            <w:tcW w:type="dxa" w:w="2160"/>
            <w:shd w:val="clear" w:color="auto" w:fill="3B4259"/>
          </w:tcPr>
          <w:p>
            <w:r>
              <w:rPr>
                <w:rFonts w:ascii="Calibri" w:hAnsi="Calibri"/>
                <w:b/>
                <w:color w:val="FFFFFF"/>
                <w:sz w:val="22"/>
              </w:rPr>
              <w:t>Return Since Last Earnings</w:t>
            </w:r>
          </w:p>
        </w:tc>
      </w:tr>
      <w:tr>
        <w:tc>
          <w:tcPr>
            <w:tcW w:type="dxa" w:w="2160"/>
          </w:tcPr>
          <w:p>
            <w:r>
              <w:rPr>
                <w:rFonts w:ascii="Calibri" w:hAnsi="Calibri"/>
                <w:sz w:val="22"/>
              </w:rPr>
              <w:t>RL</w:t>
            </w:r>
          </w:p>
        </w:tc>
        <w:tc>
          <w:tcPr>
            <w:tcW w:type="dxa" w:w="2160"/>
          </w:tcPr>
          <w:p>
            <w:r>
              <w:rPr>
                <w:rFonts w:ascii="Calibri" w:hAnsi="Calibri"/>
                <w:sz w:val="22"/>
              </w:rPr>
              <w:t>$374.90</w:t>
            </w:r>
          </w:p>
        </w:tc>
        <w:tc>
          <w:tcPr>
            <w:tcW w:type="dxa" w:w="2160"/>
          </w:tcPr>
          <w:p>
            <w:r>
              <w:rPr>
                <w:rFonts w:ascii="Calibri" w:hAnsi="Calibri"/>
                <w:sz w:val="22"/>
              </w:rPr>
              <w:t>$380.78</w:t>
            </w:r>
          </w:p>
        </w:tc>
        <w:tc>
          <w:tcPr>
            <w:tcW w:type="dxa" w:w="2160"/>
          </w:tcPr>
          <w:p>
            <w:r>
              <w:rPr>
                <w:rFonts w:ascii="Calibri" w:hAnsi="Calibri"/>
                <w:sz w:val="22"/>
              </w:rPr>
              <w:t>+1.6%</w:t>
            </w:r>
          </w:p>
        </w:tc>
      </w:tr>
      <w:tr>
        <w:tc>
          <w:tcPr>
            <w:tcW w:type="dxa" w:w="2160"/>
          </w:tcPr>
          <w:p>
            <w:r>
              <w:rPr>
                <w:rFonts w:ascii="Calibri" w:hAnsi="Calibri"/>
                <w:sz w:val="22"/>
              </w:rPr>
              <w:t>XRT (SPDR S&amp;P Retail ETF)</w:t>
            </w:r>
          </w:p>
        </w:tc>
        <w:tc>
          <w:tcPr>
            <w:tcW w:type="dxa" w:w="2160"/>
          </w:tcPr>
          <w:p>
            <w:r>
              <w:rPr>
                <w:rFonts w:ascii="Calibri" w:hAnsi="Calibri"/>
                <w:sz w:val="22"/>
              </w:rPr>
              <w:t>$81.79</w:t>
            </w:r>
          </w:p>
        </w:tc>
        <w:tc>
          <w:tcPr>
            <w:tcW w:type="dxa" w:w="2160"/>
          </w:tcPr>
          <w:p>
            <w:r>
              <w:rPr>
                <w:rFonts w:ascii="Calibri" w:hAnsi="Calibri"/>
                <w:sz w:val="22"/>
              </w:rPr>
              <w:t>$91.42</w:t>
            </w:r>
          </w:p>
        </w:tc>
        <w:tc>
          <w:tcPr>
            <w:tcW w:type="dxa" w:w="2160"/>
          </w:tcPr>
          <w:p>
            <w:r>
              <w:rPr>
                <w:rFonts w:ascii="Calibri" w:hAnsi="Calibri"/>
                <w:b/>
                <w:color w:val="30A46C"/>
                <w:sz w:val="22"/>
              </w:rPr>
              <w:t>+11.8%</w:t>
            </w:r>
          </w:p>
        </w:tc>
      </w:tr>
      <w:tr>
        <w:tc>
          <w:tcPr>
            <w:tcW w:type="dxa" w:w="2160"/>
          </w:tcPr>
          <w:p>
            <w:r>
              <w:rPr>
                <w:rFonts w:ascii="Calibri" w:hAnsi="Calibri"/>
                <w:sz w:val="22"/>
              </w:rPr>
              <w:t>S&amp;P 500 (SPY)</w:t>
            </w:r>
          </w:p>
        </w:tc>
        <w:tc>
          <w:tcPr>
            <w:tcW w:type="dxa" w:w="2160"/>
          </w:tcPr>
          <w:p>
            <w:r>
              <w:rPr>
                <w:rFonts w:ascii="Calibri" w:hAnsi="Calibri"/>
                <w:sz w:val="22"/>
              </w:rPr>
              <w:t>$742.72</w:t>
            </w:r>
          </w:p>
        </w:tc>
        <w:tc>
          <w:tcPr>
            <w:tcW w:type="dxa" w:w="2160"/>
          </w:tcPr>
          <w:p>
            <w:r>
              <w:rPr>
                <w:rFonts w:ascii="Calibri" w:hAnsi="Calibri"/>
                <w:sz w:val="22"/>
              </w:rPr>
              <w:t>$769.79</w:t>
            </w:r>
          </w:p>
        </w:tc>
        <w:tc>
          <w:tcPr>
            <w:tcW w:type="dxa" w:w="2160"/>
          </w:tcPr>
          <w:p>
            <w:r>
              <w:rPr>
                <w:rFonts w:ascii="Calibri" w:hAnsi="Calibri"/>
                <w:sz w:val="22"/>
              </w:rPr>
              <w:t>+3.6%</w:t>
            </w:r>
          </w:p>
        </w:tc>
      </w:tr>
    </w:tbl>
    <w:p>
      <w:r>
        <w:rPr>
          <w:rFonts w:ascii="Calibri" w:hAnsi="Calibri"/>
          <w:color w:val="525866"/>
          <w:sz w:val="22"/>
        </w:rPr>
        <w:t>Source: Yahoo Finance / Stock Price Data. Prices are closing prices. RL's ~10 percentage point underperformance vs. XRT since last earnings suggests the stock has not priced in a beat. The NTM EV/EBITDA multiple has contracted from ~14.0x (1 month ago) to ~13.3x currently, consistent with earnings-driven performance rather than multiple expansion. The 12-month return of +25.1% was driven primarily by revenue/earnings growth (+10.5% EV/Sales expansion) rather than multiple re-rating.</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last earnings is the absence of any negative pre-announcement or guidance revision — the only post-earnings corporate event was a routine Annual Meeting — while the macro backdrop (tariff relief at 10%, resilient core consumer) has remained broadly supportive of RL's H1 FY27 margin expansion thesis.</w:t>
      </w:r>
    </w:p>
    <w:p>
      <w:pPr>
        <w:pStyle w:val="ListBullet"/>
        <w:ind w:left="360" w:hanging="360"/>
      </w:pPr>
      <w:r>
        <w:rPr>
          <w:rFonts w:ascii="Calibri" w:hAnsi="Calibri"/>
          <w:b/>
          <w:color w:val="525866"/>
          <w:sz w:val="22"/>
        </w:rPr>
        <w:t xml:space="preserve">July 31, 2026 — Annual Meeting of Stockholders (Form 8-K): </w:t>
      </w:r>
      <w:r>
        <w:rPr>
          <w:rFonts w:ascii="Calibri" w:hAnsi="Calibri"/>
          <w:color w:val="525866"/>
          <w:sz w:val="22"/>
        </w:rPr>
        <w:t xml:space="preserve">All director nominees elected; Ernst &amp; Young LLP ratified as auditor for FY ending April 3, 2027; executive compensation approved on advisory basis (247.3M For vs. 1.8M Against). </w:t>
      </w:r>
      <w:r>
        <w:rPr>
          <w:rFonts w:ascii="Calibri" w:hAnsi="Calibri"/>
          <w:i/>
          <w:color w:val="525866"/>
          <w:sz w:val="22"/>
        </w:rPr>
        <w:t xml:space="preserve">Implication: </w:t>
      </w:r>
      <w:r>
        <w:rPr>
          <w:rFonts w:ascii="Calibri" w:hAnsi="Calibri"/>
          <w:color w:val="525866"/>
          <w:sz w:val="22"/>
        </w:rPr>
        <w:t>Routine governance event; no guidance update, no material business disclosures. Absence of any pre-announcement or 8-K guidance revision is itself a positive signal.</w:t>
      </w:r>
    </w:p>
    <w:p>
      <w:pPr>
        <w:pStyle w:val="ListBullet"/>
        <w:ind w:left="360" w:hanging="360"/>
      </w:pPr>
      <w:r>
        <w:rPr>
          <w:rFonts w:ascii="Calibri" w:hAnsi="Calibri"/>
          <w:b/>
          <w:color w:val="525866"/>
          <w:sz w:val="22"/>
        </w:rPr>
        <w:t xml:space="preserve">July 28, 2026 — Industry Report: Luxury Lifestyle Boom Accelerating: </w:t>
      </w:r>
      <w:r>
        <w:rPr>
          <w:rFonts w:ascii="Calibri" w:hAnsi="Calibri"/>
          <w:color w:val="525866"/>
          <w:sz w:val="22"/>
        </w:rPr>
        <w:t xml:space="preserve">A press release/industry note highlighted that premium fashion brands are racing toward a $500 billion global economy, with the luxury lifestyle segment accelerating. </w:t>
      </w:r>
      <w:r>
        <w:rPr>
          <w:rFonts w:ascii="Calibri" w:hAnsi="Calibri"/>
          <w:i/>
          <w:color w:val="525866"/>
          <w:sz w:val="22"/>
        </w:rPr>
        <w:t xml:space="preserve">Implication: </w:t>
      </w:r>
      <w:r>
        <w:rPr>
          <w:rFonts w:ascii="Calibri" w:hAnsi="Calibri"/>
          <w:color w:val="525866"/>
          <w:sz w:val="22"/>
        </w:rPr>
        <w:t>Supportive macro backdrop for RL's "inclusive luxury" positioning and ongoing brand elevation strategy.</w:t>
      </w:r>
    </w:p>
    <w:p>
      <w:pPr>
        <w:pStyle w:val="ListBullet"/>
        <w:ind w:left="360" w:hanging="360"/>
      </w:pPr>
      <w:r>
        <w:rPr>
          <w:rFonts w:ascii="Calibri" w:hAnsi="Calibri"/>
          <w:b/>
          <w:color w:val="525866"/>
          <w:sz w:val="22"/>
        </w:rPr>
        <w:t xml:space="preserve">May 21, 2026 — Q4 FY2026 Earnings Beat &amp; FY27 Guidance (Last Earnings): </w:t>
      </w:r>
      <w:r>
        <w:rPr>
          <w:rFonts w:ascii="Calibri" w:hAnsi="Calibri"/>
          <w:color w:val="525866"/>
          <w:sz w:val="22"/>
        </w:rPr>
        <w:t xml:space="preserve">RL reported Q4 FY26 revenue of $2.0B (+17% reported, +12% CC), well ahead of mid-single-digit guidance. Gross margin expanded despite being guided to contract ~100 bps due to peak tariff pressure. FY26 revenues surpassed $8B for the first time. FY27 guidance set in line with Investor Day targets. </w:t>
      </w:r>
      <w:r>
        <w:rPr>
          <w:rFonts w:ascii="Calibri" w:hAnsi="Calibri"/>
          <w:i/>
          <w:color w:val="525866"/>
          <w:sz w:val="22"/>
        </w:rPr>
        <w:t xml:space="preserve">Implication: </w:t>
      </w:r>
      <w:r>
        <w:rPr>
          <w:rFonts w:ascii="Calibri" w:hAnsi="Calibri"/>
          <w:color w:val="525866"/>
          <w:sz w:val="22"/>
        </w:rPr>
        <w:t>Established a high-quality baseline; management's ability to navigate peak tariff headwinds with gross margin expansion is the key precedent for Q1 FY27.</w:t>
      </w:r>
    </w:p>
    <w:p>
      <w:pPr>
        <w:pStyle w:val="ListBullet"/>
        <w:ind w:left="360" w:hanging="360"/>
      </w:pPr>
      <w:r>
        <w:rPr>
          <w:rFonts w:ascii="Calibri" w:hAnsi="Calibri"/>
          <w:b/>
          <w:color w:val="525866"/>
          <w:sz w:val="22"/>
        </w:rPr>
        <w:t xml:space="preserve">Tariff Environment — Ongoing: </w:t>
      </w:r>
      <w:r>
        <w:rPr>
          <w:rFonts w:ascii="Calibri" w:hAnsi="Calibri"/>
          <w:color w:val="525866"/>
          <w:sz w:val="22"/>
        </w:rPr>
        <w:t xml:space="preserve">The prevailing U.S. tariff rate is 10% for most of H1 FY27 following a U.S. Supreme Court ruling, which management explicitly cited as a tailwind to H1 gross and operating margin expansion vs. the prior year. FY27 guidance assumes a sequential increase in tariff headwinds in H2 as the tariff relief window expires. </w:t>
      </w:r>
      <w:r>
        <w:rPr>
          <w:rFonts w:ascii="Calibri" w:hAnsi="Calibri"/>
          <w:i/>
          <w:color w:val="525866"/>
          <w:sz w:val="22"/>
        </w:rPr>
        <w:t xml:space="preserve">Implication: </w:t>
      </w:r>
      <w:r>
        <w:rPr>
          <w:rFonts w:ascii="Calibri" w:hAnsi="Calibri"/>
          <w:color w:val="525866"/>
          <w:sz w:val="22"/>
        </w:rPr>
        <w:t>Q1 FY27 is the quarter most directly benefiting from the lower 10% tariff rate; this is already embedded in guidance but represents a real tailwind to gross margin vs. the prior year.</w:t>
      </w:r>
    </w:p>
    <w:p>
      <w:pPr>
        <w:pStyle w:val="ListBullet"/>
        <w:ind w:left="360" w:hanging="360"/>
      </w:pPr>
      <w:r>
        <w:rPr>
          <w:rFonts w:ascii="Calibri" w:hAnsi="Calibri"/>
          <w:b/>
          <w:color w:val="525866"/>
          <w:sz w:val="22"/>
        </w:rPr>
        <w:t xml:space="preserve">Europe Macro Headwinds — Ongoing: </w:t>
      </w:r>
      <w:r>
        <w:rPr>
          <w:rFonts w:ascii="Calibri" w:hAnsi="Calibri"/>
          <w:color w:val="525866"/>
          <w:sz w:val="22"/>
        </w:rPr>
        <w:t xml:space="preserve">Management flagged elevated energy costs, disruptions to Middle East partner sales and inbound tourism into Europe (Middle East represents low-single-digit % of EMEA revenue), and a more cautious consumer backdrop as reasons for a "more prudent view" of the European operating environment. Peer commentary from Canada Goose (Q1 FY27, ended June 28, 2026) and Columbia Sportswear (Q2 2026, ended June 30, 2026) confirms EMEA store traffic remained soft through June. </w:t>
      </w:r>
      <w:r>
        <w:rPr>
          <w:rFonts w:ascii="Calibri" w:hAnsi="Calibri"/>
          <w:i/>
          <w:color w:val="525866"/>
          <w:sz w:val="22"/>
        </w:rPr>
        <w:t xml:space="preserve">Implication: </w:t>
      </w:r>
      <w:r>
        <w:rPr>
          <w:rFonts w:ascii="Calibri" w:hAnsi="Calibri"/>
          <w:color w:val="525866"/>
          <w:sz w:val="22"/>
        </w:rPr>
        <w:t>Key downside risk to Q1 FY27 European segment revenue and gross margin mix; watch for any commentary on whether the "strongest Q1" Europe wholesale growth materialized as guided.</w:t>
      </w:r>
    </w:p>
    <w:p>
      <w:pPr>
        <w:pStyle w:val="ListBullet"/>
        <w:ind w:left="360" w:hanging="360"/>
      </w:pPr>
      <w:r>
        <w:rPr>
          <w:rFonts w:ascii="Calibri" w:hAnsi="Calibri"/>
          <w:b/>
          <w:color w:val="525866"/>
          <w:sz w:val="22"/>
        </w:rPr>
        <w:t xml:space="preserve">China Consumer Resilience — Ongoing: </w:t>
      </w:r>
      <w:r>
        <w:rPr>
          <w:rFonts w:ascii="Calibri" w:hAnsi="Calibri"/>
          <w:color w:val="525866"/>
          <w:sz w:val="22"/>
        </w:rPr>
        <w:t xml:space="preserve">RL guided China to grow mid-teens in FY27 after 40% growth in FY26. Canada Goose reported Asia Pacific revenue +35% in its Q1 FY27 (ended June 28, 2026), with mainland China leading growth and brand desire strengthening. </w:t>
      </w:r>
      <w:r>
        <w:rPr>
          <w:rFonts w:ascii="Calibri" w:hAnsi="Calibri"/>
          <w:i/>
          <w:color w:val="525866"/>
          <w:sz w:val="22"/>
        </w:rPr>
        <w:t xml:space="preserve">Implication: </w:t>
      </w:r>
      <w:r>
        <w:rPr>
          <w:rFonts w:ascii="Calibri" w:hAnsi="Calibri"/>
          <w:color w:val="525866"/>
          <w:sz w:val="22"/>
        </w:rPr>
        <w:t>Positive read-through for RL's China business; Chinese consumer demand appears resilient both domestically and in regional travel destinations (Korea, Hong Kong).</w:t>
      </w:r>
    </w:p>
    <w:p>
      <w:pPr>
        <w:pStyle w:val="ListBullet"/>
        <w:ind w:left="360" w:hanging="360"/>
      </w:pPr>
      <w:r>
        <w:rPr>
          <w:rFonts w:ascii="Calibri" w:hAnsi="Calibri"/>
          <w:b/>
          <w:color w:val="525866"/>
          <w:sz w:val="22"/>
        </w:rPr>
        <w:t xml:space="preserve">New Product Launch — Polo Blaze Handbag: </w:t>
      </w:r>
      <w:r>
        <w:rPr>
          <w:rFonts w:ascii="Calibri" w:hAnsi="Calibri"/>
          <w:color w:val="525866"/>
          <w:sz w:val="22"/>
        </w:rPr>
        <w:t xml:space="preserve">RL unveiled the Polo Blaze (saddle-inspired foundational handbag family) at Paris Fashion Week, set to launch in fall 2026. </w:t>
      </w:r>
      <w:r>
        <w:rPr>
          <w:rFonts w:ascii="Calibri" w:hAnsi="Calibri"/>
          <w:i/>
          <w:color w:val="525866"/>
          <w:sz w:val="22"/>
        </w:rPr>
        <w:t xml:space="preserve">Implication: </w:t>
      </w:r>
      <w:r>
        <w:rPr>
          <w:rFonts w:ascii="Calibri" w:hAnsi="Calibri"/>
          <w:color w:val="525866"/>
          <w:sz w:val="22"/>
        </w:rPr>
        <w:t>Supports the handbag category as an "accelerator" expected to over-deliver vs. the mid-single-digit FY27 growth guide; AUR-accretive.</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Two open-market sales were disclosed since last earnings — a large discretionary sale by Executive Chairman Ralph Lauren (263,654 shares, ~$98.7M) and a smaller sale by COO Robert Ranftl (6,500 shares, ~$2.4M). Neither was executed under a 10b5-1 plan, which warrants attention, though Ralph Lauren's sale was executed through a trust structure and may reflect estate/tax planning rather than a negative business signal.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Approx.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Ralph Lauren</w:t>
            </w:r>
          </w:p>
        </w:tc>
        <w:tc>
          <w:tcPr>
            <w:tcW w:type="dxa" w:w="1080"/>
          </w:tcPr>
          <w:p>
            <w:r>
              <w:rPr>
                <w:rFonts w:ascii="Calibri" w:hAnsi="Calibri"/>
                <w:sz w:val="22"/>
              </w:rPr>
              <w:t>Exec. Chair, Chief Creative Officer, 10% Owner, Director</w:t>
            </w:r>
          </w:p>
        </w:tc>
        <w:tc>
          <w:tcPr>
            <w:tcW w:type="dxa" w:w="1080"/>
          </w:tcPr>
          <w:p>
            <w:r>
              <w:rPr>
                <w:rFonts w:ascii="Calibri" w:hAnsi="Calibri"/>
                <w:sz w:val="22"/>
              </w:rPr>
              <w:t>Open Market Sale</w:t>
            </w:r>
          </w:p>
        </w:tc>
        <w:tc>
          <w:tcPr>
            <w:tcW w:type="dxa" w:w="1080"/>
          </w:tcPr>
          <w:p>
            <w:r>
              <w:rPr>
                <w:rFonts w:ascii="Calibri" w:hAnsi="Calibri"/>
                <w:sz w:val="22"/>
              </w:rPr>
              <w:t>263,654</w:t>
            </w:r>
          </w:p>
        </w:tc>
        <w:tc>
          <w:tcPr>
            <w:tcW w:type="dxa" w:w="1080"/>
          </w:tcPr>
          <w:p>
            <w:r>
              <w:rPr>
                <w:rFonts w:ascii="Calibri" w:hAnsi="Calibri"/>
                <w:sz w:val="22"/>
              </w:rPr>
              <w:t>~$98.7M (est. at ~$374.90 close)</w:t>
            </w:r>
          </w:p>
        </w:tc>
        <w:tc>
          <w:tcPr>
            <w:tcW w:type="dxa" w:w="1080"/>
          </w:tcPr>
          <w:p>
            <w:r>
              <w:rPr>
                <w:rFonts w:ascii="Calibri" w:hAnsi="Calibri"/>
                <w:sz w:val="22"/>
              </w:rPr>
              <w:t>May 26, 2026</w:t>
            </w:r>
          </w:p>
        </w:tc>
        <w:tc>
          <w:tcPr>
            <w:tcW w:type="dxa" w:w="1080"/>
          </w:tcPr>
          <w:p>
            <w:r>
              <w:rPr>
                <w:rFonts w:ascii="Calibri" w:hAnsi="Calibri"/>
                <w:sz w:val="22"/>
              </w:rPr>
              <w:t>May 28, 2026</w:t>
            </w:r>
          </w:p>
        </w:tc>
        <w:tc>
          <w:tcPr>
            <w:tcW w:type="dxa" w:w="1080"/>
          </w:tcPr>
          <w:p>
            <w:r>
              <w:rPr>
                <w:rFonts w:ascii="Calibri" w:hAnsi="Calibri"/>
                <w:sz w:val="22"/>
              </w:rPr>
              <w:t>Sold indirectly through trust. Not a 10b5-1 plan. Large in absolute terms; likely estate/tax planning given trust structure. Remaining shares held by trust: 35,854.</w:t>
            </w:r>
          </w:p>
        </w:tc>
      </w:tr>
      <w:tr>
        <w:tc>
          <w:tcPr>
            <w:tcW w:type="dxa" w:w="1080"/>
          </w:tcPr>
          <w:p>
            <w:r>
              <w:rPr>
                <w:rFonts w:ascii="Calibri" w:hAnsi="Calibri"/>
                <w:sz w:val="22"/>
              </w:rPr>
              <w:t>Robert P. Ranftl</w:t>
            </w:r>
          </w:p>
        </w:tc>
        <w:tc>
          <w:tcPr>
            <w:tcW w:type="dxa" w:w="1080"/>
          </w:tcPr>
          <w:p>
            <w:r>
              <w:rPr>
                <w:rFonts w:ascii="Calibri" w:hAnsi="Calibri"/>
                <w:sz w:val="22"/>
              </w:rPr>
              <w:t>Chief Operating Officer</w:t>
            </w:r>
          </w:p>
        </w:tc>
        <w:tc>
          <w:tcPr>
            <w:tcW w:type="dxa" w:w="1080"/>
          </w:tcPr>
          <w:p>
            <w:r>
              <w:rPr>
                <w:rFonts w:ascii="Calibri" w:hAnsi="Calibri"/>
                <w:sz w:val="22"/>
              </w:rPr>
              <w:t>Open Market Sale</w:t>
            </w:r>
          </w:p>
        </w:tc>
        <w:tc>
          <w:tcPr>
            <w:tcW w:type="dxa" w:w="1080"/>
          </w:tcPr>
          <w:p>
            <w:r>
              <w:rPr>
                <w:rFonts w:ascii="Calibri" w:hAnsi="Calibri"/>
                <w:sz w:val="22"/>
              </w:rPr>
              <w:t>6,500</w:t>
            </w:r>
          </w:p>
        </w:tc>
        <w:tc>
          <w:tcPr>
            <w:tcW w:type="dxa" w:w="1080"/>
          </w:tcPr>
          <w:p>
            <w:r>
              <w:rPr>
                <w:rFonts w:ascii="Calibri" w:hAnsi="Calibri"/>
                <w:sz w:val="22"/>
              </w:rPr>
              <w:t>~$2.4M (est. at ~$374.90 close)</w:t>
            </w:r>
          </w:p>
        </w:tc>
        <w:tc>
          <w:tcPr>
            <w:tcW w:type="dxa" w:w="1080"/>
          </w:tcPr>
          <w:p>
            <w:r>
              <w:rPr>
                <w:rFonts w:ascii="Calibri" w:hAnsi="Calibri"/>
                <w:sz w:val="22"/>
              </w:rPr>
              <w:t>June 3, 2026</w:t>
            </w:r>
          </w:p>
        </w:tc>
        <w:tc>
          <w:tcPr>
            <w:tcW w:type="dxa" w:w="1080"/>
          </w:tcPr>
          <w:p>
            <w:r>
              <w:rPr>
                <w:rFonts w:ascii="Calibri" w:hAnsi="Calibri"/>
                <w:sz w:val="22"/>
              </w:rPr>
              <w:t>June 5, 2026</w:t>
            </w:r>
          </w:p>
        </w:tc>
        <w:tc>
          <w:tcPr>
            <w:tcW w:type="dxa" w:w="1080"/>
          </w:tcPr>
          <w:p>
            <w:r>
              <w:rPr>
                <w:rFonts w:ascii="Calibri" w:hAnsi="Calibri"/>
                <w:sz w:val="22"/>
              </w:rPr>
              <w:t>Discretionary sale. Not a 10b5-1 plan. Remaining shares: 8,971. Modest in size relative to position.</w:t>
            </w:r>
          </w:p>
        </w:tc>
      </w:tr>
    </w:tbl>
    <w:p>
      <w:r>
        <w:rPr>
          <w:rFonts w:ascii="Calibri" w:hAnsi="Calibri"/>
          <w:color w:val="525866"/>
          <w:sz w:val="22"/>
        </w:rPr>
        <w:t>Source: SEC Form 4 Filings Database. Approximate values estimated using the May 21, 2026 closing price of $374.90 as a reference; actual transaction prices may differ. Both transactions were filed within the standard 2-business-day window. No open-market purchases were disclosed in the period.</w:t>
      </w:r>
    </w:p>
    <w:p>
      <w:pPr>
        <w:pStyle w:val="Heading2"/>
      </w:pPr>
      <w:r>
        <w:rPr>
          <w:rFonts w:ascii="Calibri" w:hAnsi="Calibri"/>
          <w:b/>
          <w:color w:val="3B4259"/>
          <w:sz w:val="28"/>
        </w:rPr>
        <w:t>VF Corporation (VFC) — Q1 FY2027 (Ended ~July 2026; Reported July 29, 2026)</w:t>
      </w:r>
    </w:p>
    <w:p>
      <w:r>
        <w:rPr>
          <w:rFonts w:ascii="Calibri" w:hAnsi="Calibri"/>
          <w:color w:val="525866"/>
          <w:sz w:val="22"/>
        </w:rPr>
        <w:t>VFC's Q1 FY27 covers a period largely contemporaneous with RL's June quarter. VFC operates The North Face, Timberland, Vans, and Altra across global markets.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VFC Commentary</w:t>
            </w:r>
          </w:p>
        </w:tc>
        <w:tc>
          <w:tcPr>
            <w:tcW w:type="dxa" w:w="2880"/>
            <w:shd w:val="clear" w:color="auto" w:fill="3B4259"/>
          </w:tcPr>
          <w:p>
            <w:r>
              <w:rPr>
                <w:rFonts w:ascii="Calibri" w:hAnsi="Calibri"/>
                <w:b/>
                <w:color w:val="FFFFFF"/>
                <w:sz w:val="22"/>
              </w:rPr>
              <w:t>RL Read-Through</w:t>
            </w:r>
          </w:p>
        </w:tc>
      </w:tr>
      <w:tr>
        <w:tc>
          <w:tcPr>
            <w:tcW w:type="dxa" w:w="2880"/>
          </w:tcPr>
          <w:p>
            <w:r>
              <w:rPr>
                <w:rFonts w:ascii="Calibri" w:hAnsi="Calibri"/>
                <w:sz w:val="22"/>
              </w:rPr>
              <w:t>Overall Demand</w:t>
            </w:r>
          </w:p>
        </w:tc>
        <w:tc>
          <w:tcPr>
            <w:tcW w:type="dxa" w:w="2880"/>
          </w:tcPr>
          <w:p>
            <w:r>
              <w:rPr>
                <w:rFonts w:ascii="Calibri" w:hAnsi="Calibri"/>
                <w:sz w:val="22"/>
              </w:rPr>
              <w:t>Revenue flat YoY, "ahead of our guide." DTC +5%, wholesale -4%. "A solid start to the year."</w:t>
            </w:r>
          </w:p>
        </w:tc>
        <w:tc>
          <w:tcPr>
            <w:tcW w:type="dxa" w:w="2880"/>
          </w:tcPr>
          <w:p>
            <w:r>
              <w:rPr>
                <w:rFonts w:ascii="Calibri" w:hAnsi="Calibri"/>
                <w:b/>
                <w:sz w:val="22"/>
              </w:rPr>
              <w:t>Neutral.</w:t>
            </w:r>
          </w:p>
          <w:p>
            <w:r>
              <w:rPr>
                <w:rFonts w:ascii="Calibri" w:hAnsi="Calibri"/>
                <w:sz w:val="22"/>
              </w:rPr>
              <w:t>Stable but modest demand environment. RL's premium positioning and brand elevation should allow it to outperform VFC's more challenged brands (Vans).</w:t>
            </w:r>
          </w:p>
        </w:tc>
      </w:tr>
      <w:tr>
        <w:tc>
          <w:tcPr>
            <w:tcW w:type="dxa" w:w="2880"/>
          </w:tcPr>
          <w:p>
            <w:r>
              <w:rPr>
                <w:rFonts w:ascii="Calibri" w:hAnsi="Calibri"/>
                <w:sz w:val="22"/>
              </w:rPr>
              <w:t>Americas / North America</w:t>
            </w:r>
          </w:p>
        </w:tc>
        <w:tc>
          <w:tcPr>
            <w:tcW w:type="dxa" w:w="2880"/>
          </w:tcPr>
          <w:p>
            <w:r>
              <w:rPr>
                <w:rFonts w:ascii="Calibri" w:hAnsi="Calibri"/>
                <w:sz w:val="22"/>
              </w:rPr>
              <w:t>Americas +4%. The North Face +4%, Timberland Americas +10%. "DTC in the Americas continues to grow." "Almost 60% of our comp stores are now flat to growing in Q1."</w:t>
            </w:r>
          </w:p>
        </w:tc>
        <w:tc>
          <w:tcPr>
            <w:tcW w:type="dxa" w:w="2880"/>
          </w:tcPr>
          <w:p>
            <w:r>
              <w:rPr>
                <w:rFonts w:ascii="Calibri" w:hAnsi="Calibri"/>
                <w:b/>
                <w:color w:val="30A46C"/>
                <w:sz w:val="22"/>
              </w:rPr>
              <w:t>Positive.</w:t>
            </w:r>
          </w:p>
          <w:p>
            <w:r>
              <w:rPr>
                <w:rFonts w:ascii="Calibri" w:hAnsi="Calibri"/>
                <w:sz w:val="22"/>
              </w:rPr>
              <w:t>North America consumer demand improving; DTC momentum supportive of RL's low-single-digit NA growth guidance.</w:t>
            </w:r>
          </w:p>
        </w:tc>
      </w:tr>
      <w:tr>
        <w:tc>
          <w:tcPr>
            <w:tcW w:type="dxa" w:w="2880"/>
          </w:tcPr>
          <w:p>
            <w:r>
              <w:rPr>
                <w:rFonts w:ascii="Calibri" w:hAnsi="Calibri"/>
                <w:sz w:val="22"/>
              </w:rPr>
              <w:t>EMEA</w:t>
            </w:r>
          </w:p>
        </w:tc>
        <w:tc>
          <w:tcPr>
            <w:tcW w:type="dxa" w:w="2880"/>
          </w:tcPr>
          <w:p>
            <w:r>
              <w:rPr>
                <w:rFonts w:ascii="Calibri" w:hAnsi="Calibri"/>
                <w:sz w:val="22"/>
              </w:rPr>
              <w:t>EMEA -7%. Timberland impacted by Middle East conflict (~3 pts headwind). Vans EMEA: "DTC is outperforming wholesale by a wide margin. E-com is positive this quarter." Wholesale "way south" of DTC.</w:t>
            </w:r>
          </w:p>
        </w:tc>
        <w:tc>
          <w:tcPr>
            <w:tcW w:type="dxa" w:w="2880"/>
          </w:tcPr>
          <w:p>
            <w:r>
              <w:rPr>
                <w:rFonts w:ascii="Calibri" w:hAnsi="Calibri"/>
                <w:b/>
                <w:color w:val="E5484D"/>
                <w:sz w:val="22"/>
              </w:rPr>
              <w:t>Negative.</w:t>
            </w:r>
          </w:p>
          <w:p>
            <w:r>
              <w:rPr>
                <w:rFonts w:ascii="Calibri" w:hAnsi="Calibri"/>
                <w:sz w:val="22"/>
              </w:rPr>
              <w:t>Confirms Middle East disruption headwind to EMEA (consistent with RL's guidance). Wholesale weakness in EMEA is a risk for RL's European wholesale segment.</w:t>
            </w:r>
          </w:p>
        </w:tc>
      </w:tr>
      <w:tr>
        <w:tc>
          <w:tcPr>
            <w:tcW w:type="dxa" w:w="2880"/>
          </w:tcPr>
          <w:p>
            <w:r>
              <w:rPr>
                <w:rFonts w:ascii="Calibri" w:hAnsi="Calibri"/>
                <w:sz w:val="22"/>
              </w:rPr>
              <w:t>Asia / China</w:t>
            </w:r>
          </w:p>
        </w:tc>
        <w:tc>
          <w:tcPr>
            <w:tcW w:type="dxa" w:w="2880"/>
          </w:tcPr>
          <w:p>
            <w:r>
              <w:rPr>
                <w:rFonts w:ascii="Calibri" w:hAnsi="Calibri"/>
                <w:sz w:val="22"/>
              </w:rPr>
              <w:t>APAC -1%. "China APAC in general has been more muted than it's been historically. And we expect that to really continue." The North Face "relatively flat" in China.</w:t>
            </w:r>
          </w:p>
        </w:tc>
        <w:tc>
          <w:tcPr>
            <w:tcW w:type="dxa" w:w="2880"/>
          </w:tcPr>
          <w:p>
            <w:r>
              <w:rPr>
                <w:rFonts w:ascii="Calibri" w:hAnsi="Calibri"/>
                <w:b/>
                <w:color w:val="E5484D"/>
                <w:sz w:val="22"/>
              </w:rPr>
              <w:t>Mixed.</w:t>
            </w:r>
          </w:p>
          <w:p>
            <w:r>
              <w:rPr>
                <w:rFonts w:ascii="Calibri" w:hAnsi="Calibri"/>
                <w:sz w:val="22"/>
              </w:rPr>
              <w:t>VFC's China weakness is brand-specific (Vans/TNF turnaround story) and not necessarily indicative of RL's China trajectory. Canada Goose's +35% Asia Pacific result is a better read-through for RL's premium positioning.</w:t>
            </w:r>
          </w:p>
        </w:tc>
      </w:tr>
      <w:tr>
        <w:tc>
          <w:tcPr>
            <w:tcW w:type="dxa" w:w="2880"/>
          </w:tcPr>
          <w:p>
            <w:r>
              <w:rPr>
                <w:rFonts w:ascii="Calibri" w:hAnsi="Calibri"/>
                <w:sz w:val="22"/>
              </w:rPr>
              <w:t>Tariffs</w:t>
            </w:r>
          </w:p>
        </w:tc>
        <w:tc>
          <w:tcPr>
            <w:tcW w:type="dxa" w:w="2880"/>
          </w:tcPr>
          <w:p>
            <w:r>
              <w:rPr>
                <w:rFonts w:ascii="Calibri" w:hAnsi="Calibri"/>
                <w:sz w:val="22"/>
              </w:rPr>
              <w:t>"Roughly no incremental advantage or disadvantage of tariffs in Q1 this year versus Q1 last year" on P&amp;L. Free cash flow includes ~$50M benefit from tariff refunds.</w:t>
            </w:r>
          </w:p>
        </w:tc>
        <w:tc>
          <w:tcPr>
            <w:tcW w:type="dxa" w:w="2880"/>
          </w:tcPr>
          <w:p>
            <w:r>
              <w:rPr>
                <w:rFonts w:ascii="Calibri" w:hAnsi="Calibri"/>
                <w:b/>
                <w:sz w:val="22"/>
              </w:rPr>
              <w:t>Neutral.</w:t>
            </w:r>
          </w:p>
          <w:p>
            <w:r>
              <w:rPr>
                <w:rFonts w:ascii="Calibri" w:hAnsi="Calibri"/>
                <w:sz w:val="22"/>
              </w:rPr>
              <w:t>RL guided for a modest tariff headwind in Q1 FY27 vs. prior year (10% rate vs. higher IEEPA rates in prior year). VFC's neutral P&amp;L impact is consistent with a manageable tariff environment.</w:t>
            </w:r>
          </w:p>
        </w:tc>
      </w:tr>
      <w:tr>
        <w:tc>
          <w:tcPr>
            <w:tcW w:type="dxa" w:w="2880"/>
          </w:tcPr>
          <w:p>
            <w:r>
              <w:rPr>
                <w:rFonts w:ascii="Calibri" w:hAnsi="Calibri"/>
                <w:sz w:val="22"/>
              </w:rPr>
              <w:t>Gross Margin</w:t>
            </w:r>
          </w:p>
        </w:tc>
        <w:tc>
          <w:tcPr>
            <w:tcW w:type="dxa" w:w="2880"/>
          </w:tcPr>
          <w:p>
            <w:r>
              <w:rPr>
                <w:rFonts w:ascii="Calibri" w:hAnsi="Calibri"/>
                <w:sz w:val="22"/>
              </w:rPr>
              <w:t>Adjusted gross margin 54.9%, up slightly YoY. "Core underlying gross margin is actually stronger than it appears" (impacted by 140 bps unfavorable FX). Q2 gross margin expected up YoY.</w:t>
            </w:r>
          </w:p>
        </w:tc>
        <w:tc>
          <w:tcPr>
            <w:tcW w:type="dxa" w:w="2880"/>
          </w:tcPr>
          <w:p>
            <w:r>
              <w:rPr>
                <w:rFonts w:ascii="Calibri" w:hAnsi="Calibri"/>
                <w:b/>
                <w:color w:val="30A46C"/>
                <w:sz w:val="22"/>
              </w:rPr>
              <w:t>Positive.</w:t>
            </w:r>
          </w:p>
          <w:p>
            <w:r>
              <w:rPr>
                <w:rFonts w:ascii="Calibri" w:hAnsi="Calibri"/>
                <w:sz w:val="22"/>
              </w:rPr>
              <w:t>Underlying gross margin expansion trend is intact across the sector; supportive of RL's gross margin expansion guidance.</w:t>
            </w:r>
          </w:p>
        </w:tc>
      </w:tr>
    </w:tbl>
    <w:p>
      <w:pPr>
        <w:pStyle w:val="Heading2"/>
      </w:pPr>
      <w:r>
        <w:rPr>
          <w:rFonts w:ascii="Calibri" w:hAnsi="Calibri"/>
          <w:b/>
          <w:color w:val="3B4259"/>
          <w:sz w:val="28"/>
        </w:rPr>
        <w:t>Columbia Sportswear (COLM) — Q2 2026 (Ended ~June 30, 2026; Reported July 30, 2026)</w:t>
      </w:r>
    </w:p>
    <w:p>
      <w:r>
        <w:rPr>
          <w:rFonts w:ascii="Calibri" w:hAnsi="Calibri"/>
          <w:color w:val="525866"/>
          <w:sz w:val="22"/>
        </w:rPr>
        <w:t>COLM's Q2 2026 covers the calendar quarter ending June 30, 2026, directly contemporaneous with RL's Q1 FY27. Columbia is a global outdoor apparel brand with significant international exposure.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COLM Commentary</w:t>
            </w:r>
          </w:p>
        </w:tc>
        <w:tc>
          <w:tcPr>
            <w:tcW w:type="dxa" w:w="2880"/>
            <w:shd w:val="clear" w:color="auto" w:fill="3B4259"/>
          </w:tcPr>
          <w:p>
            <w:r>
              <w:rPr>
                <w:rFonts w:ascii="Calibri" w:hAnsi="Calibri"/>
                <w:b/>
                <w:color w:val="FFFFFF"/>
                <w:sz w:val="22"/>
              </w:rPr>
              <w:t>RL Read-Through</w:t>
            </w:r>
          </w:p>
        </w:tc>
      </w:tr>
      <w:tr>
        <w:tc>
          <w:tcPr>
            <w:tcW w:type="dxa" w:w="2880"/>
          </w:tcPr>
          <w:p>
            <w:r>
              <w:rPr>
                <w:rFonts w:ascii="Calibri" w:hAnsi="Calibri"/>
                <w:sz w:val="22"/>
              </w:rPr>
              <w:t>Overall Demand</w:t>
            </w:r>
          </w:p>
        </w:tc>
        <w:tc>
          <w:tcPr>
            <w:tcW w:type="dxa" w:w="2880"/>
          </w:tcPr>
          <w:p>
            <w:r>
              <w:rPr>
                <w:rFonts w:ascii="Calibri" w:hAnsi="Calibri"/>
                <w:sz w:val="22"/>
              </w:rPr>
              <w:t>Net sales growth exceeded quarterly guidance. International +9% YoY. U.S. -4%. "Sequential improvement despite consumer discretionary spending coming in under mounting inflationary pressure."</w:t>
            </w:r>
          </w:p>
        </w:tc>
        <w:tc>
          <w:tcPr>
            <w:tcW w:type="dxa" w:w="2880"/>
          </w:tcPr>
          <w:p>
            <w:r>
              <w:rPr>
                <w:rFonts w:ascii="Calibri" w:hAnsi="Calibri"/>
                <w:b/>
                <w:sz w:val="22"/>
              </w:rPr>
              <w:t>Mixed.</w:t>
            </w:r>
          </w:p>
          <w:p>
            <w:r>
              <w:rPr>
                <w:rFonts w:ascii="Calibri" w:hAnsi="Calibri"/>
                <w:sz w:val="22"/>
              </w:rPr>
              <w:t>International strength is a positive for RL's global footprint; U.S. weakness is more relevant to mass/outdoor than RL's premium positioning.</w:t>
            </w:r>
          </w:p>
        </w:tc>
      </w:tr>
      <w:tr>
        <w:tc>
          <w:tcPr>
            <w:tcW w:type="dxa" w:w="2880"/>
          </w:tcPr>
          <w:p>
            <w:r>
              <w:rPr>
                <w:rFonts w:ascii="Calibri" w:hAnsi="Calibri"/>
                <w:sz w:val="22"/>
              </w:rPr>
              <w:t>U.S. DTC / Promotions</w:t>
            </w:r>
          </w:p>
        </w:tc>
        <w:tc>
          <w:tcPr>
            <w:tcW w:type="dxa" w:w="2880"/>
          </w:tcPr>
          <w:p>
            <w:r>
              <w:rPr>
                <w:rFonts w:ascii="Calibri" w:hAnsi="Calibri"/>
                <w:sz w:val="22"/>
              </w:rPr>
              <w:t>"Soft traffic in our U.S. DTC brick and mortar business during the quarter, resulting in higher discounts and lower sales than planned." Gross margin slightly below plan on higher promotional activity.</w:t>
            </w:r>
          </w:p>
        </w:tc>
        <w:tc>
          <w:tcPr>
            <w:tcW w:type="dxa" w:w="2880"/>
          </w:tcPr>
          <w:p>
            <w:r>
              <w:rPr>
                <w:rFonts w:ascii="Calibri" w:hAnsi="Calibri"/>
                <w:b/>
                <w:color w:val="E5484D"/>
                <w:sz w:val="22"/>
              </w:rPr>
              <w:t>Negative.</w:t>
            </w:r>
          </w:p>
          <w:p>
            <w:r>
              <w:rPr>
                <w:rFonts w:ascii="Calibri" w:hAnsi="Calibri"/>
                <w:sz w:val="22"/>
              </w:rPr>
              <w:t>U.S. DTC traffic softness and promotional pressure is a risk for RL's North America DTC, though RL's full-price discipline and brand elevation should provide insulation.</w:t>
            </w:r>
          </w:p>
        </w:tc>
      </w:tr>
      <w:tr>
        <w:tc>
          <w:tcPr>
            <w:tcW w:type="dxa" w:w="2880"/>
          </w:tcPr>
          <w:p>
            <w:r>
              <w:rPr>
                <w:rFonts w:ascii="Calibri" w:hAnsi="Calibri"/>
                <w:sz w:val="22"/>
              </w:rPr>
              <w:t>China</w:t>
            </w:r>
          </w:p>
        </w:tc>
        <w:tc>
          <w:tcPr>
            <w:tcW w:type="dxa" w:w="2880"/>
          </w:tcPr>
          <w:p>
            <w:r>
              <w:rPr>
                <w:rFonts w:ascii="Calibri" w:hAnsi="Calibri"/>
                <w:sz w:val="22"/>
              </w:rPr>
              <w:t>China net sales +mid-single-digit %. Strong 618 shopping event performance with improved markdown rate. "We still anticipate China being one of our fastest growing markets" with double-digit growth for the full year.</w:t>
            </w:r>
          </w:p>
        </w:tc>
        <w:tc>
          <w:tcPr>
            <w:tcW w:type="dxa" w:w="2880"/>
          </w:tcPr>
          <w:p>
            <w:r>
              <w:rPr>
                <w:rFonts w:ascii="Calibri" w:hAnsi="Calibri"/>
                <w:b/>
                <w:color w:val="30A46C"/>
                <w:sz w:val="22"/>
              </w:rPr>
              <w:t>Positive.</w:t>
            </w:r>
          </w:p>
          <w:p>
            <w:r>
              <w:rPr>
                <w:rFonts w:ascii="Calibri" w:hAnsi="Calibri"/>
                <w:sz w:val="22"/>
              </w:rPr>
              <w:t>China demand broadly healthy; 618 event strength is a positive for RL's China DTC e-commerce. Double-digit growth expectation consistent with RL's mid-teens China guidance.</w:t>
            </w:r>
          </w:p>
        </w:tc>
      </w:tr>
      <w:tr>
        <w:tc>
          <w:tcPr>
            <w:tcW w:type="dxa" w:w="2880"/>
          </w:tcPr>
          <w:p>
            <w:r>
              <w:rPr>
                <w:rFonts w:ascii="Calibri" w:hAnsi="Calibri"/>
                <w:sz w:val="22"/>
              </w:rPr>
              <w:t>EMEA</w:t>
            </w:r>
          </w:p>
        </w:tc>
        <w:tc>
          <w:tcPr>
            <w:tcW w:type="dxa" w:w="2880"/>
          </w:tcPr>
          <w:p>
            <w:r>
              <w:rPr>
                <w:rFonts w:ascii="Calibri" w:hAnsi="Calibri"/>
                <w:sz w:val="22"/>
              </w:rPr>
              <w:t>EMEA +high-single-digit %. Europe direct +low-double-digit % but "with higher promotional activity in DTC amid weaker traffic due to macro headwinds and unfavorable weather." Middle East conflict putting pressure on discretionary spending.</w:t>
            </w:r>
          </w:p>
        </w:tc>
        <w:tc>
          <w:tcPr>
            <w:tcW w:type="dxa" w:w="2880"/>
          </w:tcPr>
          <w:p>
            <w:r>
              <w:rPr>
                <w:rFonts w:ascii="Calibri" w:hAnsi="Calibri"/>
                <w:b/>
                <w:color w:val="E5484D"/>
                <w:sz w:val="22"/>
              </w:rPr>
              <w:t>Mixed.</w:t>
            </w:r>
          </w:p>
          <w:p>
            <w:r>
              <w:rPr>
                <w:rFonts w:ascii="Calibri" w:hAnsi="Calibri"/>
                <w:sz w:val="22"/>
              </w:rPr>
              <w:t>EMEA growth is positive but promotional pressure and traffic weakness in DTC are risks for RL's European segment margins. Middle East headwind is consistent with RL's guidance.</w:t>
            </w:r>
          </w:p>
        </w:tc>
      </w:tr>
      <w:tr>
        <w:tc>
          <w:tcPr>
            <w:tcW w:type="dxa" w:w="2880"/>
          </w:tcPr>
          <w:p>
            <w:r>
              <w:rPr>
                <w:rFonts w:ascii="Calibri" w:hAnsi="Calibri"/>
                <w:sz w:val="22"/>
              </w:rPr>
              <w:t>Tariffs</w:t>
            </w:r>
          </w:p>
        </w:tc>
        <w:tc>
          <w:tcPr>
            <w:tcW w:type="dxa" w:w="2880"/>
          </w:tcPr>
          <w:p>
            <w:r>
              <w:rPr>
                <w:rFonts w:ascii="Calibri" w:hAnsi="Calibri"/>
                <w:sz w:val="22"/>
              </w:rPr>
              <w:t>Received ~$78M in IEEPA tariff refunds in Q2. Excluding refunds, gross margin -50 bps YoY from tariff headwinds and discounting. Outlook assumes 10%–12.5% tariff rates through year-end.</w:t>
            </w:r>
          </w:p>
        </w:tc>
        <w:tc>
          <w:tcPr>
            <w:tcW w:type="dxa" w:w="2880"/>
          </w:tcPr>
          <w:p>
            <w:r>
              <w:rPr>
                <w:rFonts w:ascii="Calibri" w:hAnsi="Calibri"/>
                <w:b/>
                <w:sz w:val="22"/>
              </w:rPr>
              <w:t>Mixed.</w:t>
            </w:r>
          </w:p>
          <w:p>
            <w:r>
              <w:rPr>
                <w:rFonts w:ascii="Calibri" w:hAnsi="Calibri"/>
                <w:sz w:val="22"/>
              </w:rPr>
              <w:t>Tariff refunds are a one-time benefit not applicable to RL. Underlying tariff headwind at 10%–12.5% is consistent with RL's guidance assumption. RL's guidance does not assume tariff refunds.</w:t>
            </w:r>
          </w:p>
        </w:tc>
      </w:tr>
      <w:tr>
        <w:tc>
          <w:tcPr>
            <w:tcW w:type="dxa" w:w="2880"/>
          </w:tcPr>
          <w:p>
            <w:r>
              <w:rPr>
                <w:rFonts w:ascii="Calibri" w:hAnsi="Calibri"/>
                <w:sz w:val="22"/>
              </w:rPr>
              <w:t>Gross Margin</w:t>
            </w:r>
          </w:p>
        </w:tc>
        <w:tc>
          <w:tcPr>
            <w:tcW w:type="dxa" w:w="2880"/>
          </w:tcPr>
          <w:p>
            <w:r>
              <w:rPr>
                <w:rFonts w:ascii="Calibri" w:hAnsi="Calibri"/>
                <w:sz w:val="22"/>
              </w:rPr>
              <w:t>Reported gross margin +920 bps (tariff refund impact). Excluding refunds, -50 bps from tariffs and discounting. Q3 gross margin expected to decline due to promotional environment and rising freight costs.</w:t>
            </w:r>
          </w:p>
        </w:tc>
        <w:tc>
          <w:tcPr>
            <w:tcW w:type="dxa" w:w="2880"/>
          </w:tcPr>
          <w:p>
            <w:r>
              <w:rPr>
                <w:rFonts w:ascii="Calibri" w:hAnsi="Calibri"/>
                <w:b/>
                <w:color w:val="E5484D"/>
                <w:sz w:val="22"/>
              </w:rPr>
              <w:t>Negative.</w:t>
            </w:r>
          </w:p>
          <w:p>
            <w:r>
              <w:rPr>
                <w:rFonts w:ascii="Calibri" w:hAnsi="Calibri"/>
                <w:sz w:val="22"/>
              </w:rPr>
              <w:t>Underlying gross margin pressure from promotions and tariffs is a risk for RL, though RL's AUR growth and mix shift provide stronger offsets than COLM's model.</w:t>
            </w:r>
          </w:p>
        </w:tc>
      </w:tr>
    </w:tbl>
    <w:p>
      <w:pPr>
        <w:pStyle w:val="Heading2"/>
      </w:pPr>
      <w:r>
        <w:rPr>
          <w:rFonts w:ascii="Calibri" w:hAnsi="Calibri"/>
          <w:b/>
          <w:color w:val="3B4259"/>
          <w:sz w:val="28"/>
        </w:rPr>
        <w:t>Gildan Activewear (GIL) — Q2 2026 (Ended June 2026; Reported July 30, 2026)</w:t>
      </w:r>
    </w:p>
    <w:p>
      <w:r>
        <w:rPr>
          <w:rFonts w:ascii="Calibri" w:hAnsi="Calibri"/>
          <w:color w:val="525866"/>
          <w:sz w:val="22"/>
        </w:rPr>
        <w:t>GIL's Q2 2026 covers the calendar quarter ending June 2026. Gildan is a large-scale activewear manufacturer with significant wholesale and retail exposure. Less directly comparable to RL's premium positioning, but provides useful read-throughs on wholesale channel health and retail demand trends.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GIL Commentary</w:t>
            </w:r>
          </w:p>
        </w:tc>
        <w:tc>
          <w:tcPr>
            <w:tcW w:type="dxa" w:w="2880"/>
            <w:shd w:val="clear" w:color="auto" w:fill="3B4259"/>
          </w:tcPr>
          <w:p>
            <w:r>
              <w:rPr>
                <w:rFonts w:ascii="Calibri" w:hAnsi="Calibri"/>
                <w:b/>
                <w:color w:val="FFFFFF"/>
                <w:sz w:val="22"/>
              </w:rPr>
              <w:t>RL Read-Through</w:t>
            </w:r>
          </w:p>
        </w:tc>
      </w:tr>
      <w:tr>
        <w:tc>
          <w:tcPr>
            <w:tcW w:type="dxa" w:w="2880"/>
          </w:tcPr>
          <w:p>
            <w:r>
              <w:rPr>
                <w:rFonts w:ascii="Calibri" w:hAnsi="Calibri"/>
                <w:sz w:val="22"/>
              </w:rPr>
              <w:t>Wholesale Channel</w:t>
            </w:r>
          </w:p>
        </w:tc>
        <w:tc>
          <w:tcPr>
            <w:tcW w:type="dxa" w:w="2880"/>
          </w:tcPr>
          <w:p>
            <w:r>
              <w:rPr>
                <w:rFonts w:ascii="Calibri" w:hAnsi="Calibri"/>
                <w:sz w:val="22"/>
              </w:rPr>
              <w:t>"Wholesale business is performing well." Inventory across wholesale customers "in balance, both from a quality and a quantity perspective." Demand trends "improved sequentially throughout the quarter, with further strengthening in June."</w:t>
            </w:r>
          </w:p>
        </w:tc>
        <w:tc>
          <w:tcPr>
            <w:tcW w:type="dxa" w:w="2880"/>
          </w:tcPr>
          <w:p>
            <w:r>
              <w:rPr>
                <w:rFonts w:ascii="Calibri" w:hAnsi="Calibri"/>
                <w:b/>
                <w:color w:val="30A46C"/>
                <w:sz w:val="22"/>
              </w:rPr>
              <w:t>Positive.</w:t>
            </w:r>
          </w:p>
          <w:p>
            <w:r>
              <w:rPr>
                <w:rFonts w:ascii="Calibri" w:hAnsi="Calibri"/>
                <w:sz w:val="22"/>
              </w:rPr>
              <w:t>Healthy wholesale inventory levels and improving demand trends are supportive of RL's North America and Europe wholesale channels.</w:t>
            </w:r>
          </w:p>
        </w:tc>
      </w:tr>
      <w:tr>
        <w:tc>
          <w:tcPr>
            <w:tcW w:type="dxa" w:w="2880"/>
          </w:tcPr>
          <w:p>
            <w:r>
              <w:rPr>
                <w:rFonts w:ascii="Calibri" w:hAnsi="Calibri"/>
                <w:sz w:val="22"/>
              </w:rPr>
              <w:t>Retail Environment</w:t>
            </w:r>
          </w:p>
        </w:tc>
        <w:tc>
          <w:tcPr>
            <w:tcW w:type="dxa" w:w="2880"/>
          </w:tcPr>
          <w:p>
            <w:r>
              <w:rPr>
                <w:rFonts w:ascii="Calibri" w:hAnsi="Calibri"/>
                <w:sz w:val="22"/>
              </w:rPr>
              <w:t>"In retail, the environment was more measured." "Softness in the broader market and cautiousness on the part of retailers managing their inventories." Market "weakened in June."</w:t>
            </w:r>
          </w:p>
        </w:tc>
        <w:tc>
          <w:tcPr>
            <w:tcW w:type="dxa" w:w="2880"/>
          </w:tcPr>
          <w:p>
            <w:r>
              <w:rPr>
                <w:rFonts w:ascii="Calibri" w:hAnsi="Calibri"/>
                <w:b/>
                <w:color w:val="E5484D"/>
                <w:sz w:val="22"/>
              </w:rPr>
              <w:t>Negative.</w:t>
            </w:r>
          </w:p>
          <w:p>
            <w:r>
              <w:rPr>
                <w:rFonts w:ascii="Calibri" w:hAnsi="Calibri"/>
                <w:sz w:val="22"/>
              </w:rPr>
              <w:t>Cautious retailer inventory management and June softness are risks for RL's wholesale channel, though RL's premium positioning and full-price discipline provide insulation.</w:t>
            </w:r>
          </w:p>
        </w:tc>
      </w:tr>
      <w:tr>
        <w:tc>
          <w:tcPr>
            <w:tcW w:type="dxa" w:w="2880"/>
          </w:tcPr>
          <w:p>
            <w:r>
              <w:rPr>
                <w:rFonts w:ascii="Calibri" w:hAnsi="Calibri"/>
                <w:sz w:val="22"/>
              </w:rPr>
              <w:t>Demand Drivers</w:t>
            </w:r>
          </w:p>
        </w:tc>
        <w:tc>
          <w:tcPr>
            <w:tcW w:type="dxa" w:w="2880"/>
          </w:tcPr>
          <w:p>
            <w:r>
              <w:rPr>
                <w:rFonts w:ascii="Calibri" w:hAnsi="Calibri"/>
                <w:sz w:val="22"/>
              </w:rPr>
              <w:t>June demand positively influenced by FIFA World Cup, U.S. 250th anniversary, and tourism-related events. "Major events like FIFA World Cup... and other tourism related events."</w:t>
            </w:r>
          </w:p>
        </w:tc>
        <w:tc>
          <w:tcPr>
            <w:tcW w:type="dxa" w:w="2880"/>
          </w:tcPr>
          <w:p>
            <w:r>
              <w:rPr>
                <w:rFonts w:ascii="Calibri" w:hAnsi="Calibri"/>
                <w:b/>
                <w:color w:val="30A46C"/>
                <w:sz w:val="22"/>
              </w:rPr>
              <w:t>Positive.</w:t>
            </w:r>
          </w:p>
          <w:p>
            <w:r>
              <w:rPr>
                <w:rFonts w:ascii="Calibri" w:hAnsi="Calibri"/>
                <w:sz w:val="22"/>
              </w:rPr>
              <w:t>Event-driven demand and tourism activity in June are positive for RL's DTC and wholesale channels, particularly in North America and Europe.</w:t>
            </w:r>
          </w:p>
        </w:tc>
      </w:tr>
      <w:tr>
        <w:tc>
          <w:tcPr>
            <w:tcW w:type="dxa" w:w="2880"/>
          </w:tcPr>
          <w:p>
            <w:r>
              <w:rPr>
                <w:rFonts w:ascii="Calibri" w:hAnsi="Calibri"/>
                <w:sz w:val="22"/>
              </w:rPr>
              <w:t>Pricing</w:t>
            </w:r>
          </w:p>
        </w:tc>
        <w:tc>
          <w:tcPr>
            <w:tcW w:type="dxa" w:w="2880"/>
          </w:tcPr>
          <w:p>
            <w:r>
              <w:rPr>
                <w:rFonts w:ascii="Calibri" w:hAnsi="Calibri"/>
                <w:sz w:val="22"/>
              </w:rPr>
              <w:t>Pricing initiatives partially offset tariff headwinds. "Lots of structural inflation" from raw materials, cotton, energy, labor. Views itself as "the market leader" and "the price setter."</w:t>
            </w:r>
          </w:p>
        </w:tc>
        <w:tc>
          <w:tcPr>
            <w:tcW w:type="dxa" w:w="2880"/>
          </w:tcPr>
          <w:p>
            <w:r>
              <w:rPr>
                <w:rFonts w:ascii="Calibri" w:hAnsi="Calibri"/>
                <w:b/>
                <w:sz w:val="22"/>
              </w:rPr>
              <w:t>Neutral.</w:t>
            </w:r>
          </w:p>
          <w:p>
            <w:r>
              <w:rPr>
                <w:rFonts w:ascii="Calibri" w:hAnsi="Calibri"/>
                <w:sz w:val="22"/>
              </w:rPr>
              <w:t>Pricing power intact at the market leader level; RL's premium brand positioning provides even stronger pricing power (high-single-digit AUR growth guided).</w:t>
            </w:r>
          </w:p>
        </w:tc>
      </w:tr>
    </w:tbl>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Key Supporting Evidence</w:t>
            </w:r>
          </w:p>
        </w:tc>
        <w:tc>
          <w:tcPr>
            <w:tcW w:type="dxa" w:w="2160"/>
            <w:shd w:val="clear" w:color="auto" w:fill="3B4259"/>
          </w:tcPr>
          <w:p>
            <w:r>
              <w:rPr>
                <w:rFonts w:ascii="Calibri" w:hAnsi="Calibri"/>
                <w:b/>
                <w:color w:val="FFFFFF"/>
                <w:sz w:val="22"/>
              </w:rPr>
              <w:t>RL Implication</w:t>
            </w:r>
          </w:p>
        </w:tc>
      </w:tr>
      <w:tr>
        <w:tc>
          <w:tcPr>
            <w:tcW w:type="dxa" w:w="2160"/>
          </w:tcPr>
          <w:p>
            <w:r>
              <w:rPr>
                <w:rFonts w:ascii="Calibri" w:hAnsi="Calibri"/>
                <w:sz w:val="22"/>
              </w:rPr>
              <w:t>Asia / China Demand</w:t>
            </w:r>
          </w:p>
        </w:tc>
        <w:tc>
          <w:tcPr>
            <w:tcW w:type="dxa" w:w="2160"/>
          </w:tcPr>
          <w:p>
            <w:r>
              <w:rPr>
                <w:rFonts w:ascii="Calibri" w:hAnsi="Calibri"/>
                <w:b/>
                <w:color w:val="30A46C"/>
                <w:sz w:val="22"/>
              </w:rPr>
              <w:t>Positive</w:t>
            </w:r>
          </w:p>
        </w:tc>
        <w:tc>
          <w:tcPr>
            <w:tcW w:type="dxa" w:w="2160"/>
          </w:tcPr>
          <w:p>
            <w:r>
              <w:rPr>
                <w:rFonts w:ascii="Calibri" w:hAnsi="Calibri"/>
                <w:sz w:val="22"/>
              </w:rPr>
              <w:t>GOOS Asia Pacific +35%; China brand desire strengthening; Chinese consumers shopping regionally (Korea, HK)</w:t>
            </w:r>
          </w:p>
        </w:tc>
        <w:tc>
          <w:tcPr>
            <w:tcW w:type="dxa" w:w="2160"/>
          </w:tcPr>
          <w:p>
            <w:r>
              <w:rPr>
                <w:rFonts w:ascii="Calibri" w:hAnsi="Calibri"/>
                <w:sz w:val="22"/>
              </w:rPr>
              <w:t>Supports RL's mid-teens China growth guidance and high-single-digit Asia segment guidance</w:t>
            </w:r>
          </w:p>
        </w:tc>
      </w:tr>
      <w:tr>
        <w:tc>
          <w:tcPr>
            <w:tcW w:type="dxa" w:w="2160"/>
          </w:tcPr>
          <w:p>
            <w:r>
              <w:rPr>
                <w:rFonts w:ascii="Calibri" w:hAnsi="Calibri"/>
                <w:sz w:val="22"/>
              </w:rPr>
              <w:t>Premium Pricing Power / AUR</w:t>
            </w:r>
          </w:p>
        </w:tc>
        <w:tc>
          <w:tcPr>
            <w:tcW w:type="dxa" w:w="2160"/>
          </w:tcPr>
          <w:p>
            <w:r>
              <w:rPr>
                <w:rFonts w:ascii="Calibri" w:hAnsi="Calibri"/>
                <w:b/>
                <w:color w:val="30A46C"/>
                <w:sz w:val="22"/>
              </w:rPr>
              <w:t>Positive</w:t>
            </w:r>
          </w:p>
        </w:tc>
        <w:tc>
          <w:tcPr>
            <w:tcW w:type="dxa" w:w="2160"/>
          </w:tcPr>
          <w:p>
            <w:r>
              <w:rPr>
                <w:rFonts w:ascii="Calibri" w:hAnsi="Calibri"/>
                <w:sz w:val="22"/>
              </w:rPr>
              <w:t>GOOS mid-single-digit price increase with no consumer resistance; GIL pricing initiatives effective</w:t>
            </w:r>
          </w:p>
        </w:tc>
        <w:tc>
          <w:tcPr>
            <w:tcW w:type="dxa" w:w="2160"/>
          </w:tcPr>
          <w:p>
            <w:r>
              <w:rPr>
                <w:rFonts w:ascii="Calibri" w:hAnsi="Calibri"/>
                <w:sz w:val="22"/>
              </w:rPr>
              <w:t>Validates RL's high-single-digit AUR growth guidance; premium consumers accepting price increases</w:t>
            </w:r>
          </w:p>
        </w:tc>
      </w:tr>
      <w:tr>
        <w:tc>
          <w:tcPr>
            <w:tcW w:type="dxa" w:w="2160"/>
          </w:tcPr>
          <w:p>
            <w:r>
              <w:rPr>
                <w:rFonts w:ascii="Calibri" w:hAnsi="Calibri"/>
                <w:sz w:val="22"/>
              </w:rPr>
              <w:t>Wholesale Channel Health</w:t>
            </w:r>
          </w:p>
        </w:tc>
        <w:tc>
          <w:tcPr>
            <w:tcW w:type="dxa" w:w="2160"/>
          </w:tcPr>
          <w:p>
            <w:r>
              <w:rPr>
                <w:rFonts w:ascii="Calibri" w:hAnsi="Calibri"/>
                <w:b/>
                <w:color w:val="30A46C"/>
                <w:sz w:val="22"/>
              </w:rPr>
              <w:t>Positive</w:t>
            </w:r>
          </w:p>
        </w:tc>
        <w:tc>
          <w:tcPr>
            <w:tcW w:type="dxa" w:w="2160"/>
          </w:tcPr>
          <w:p>
            <w:r>
              <w:rPr>
                <w:rFonts w:ascii="Calibri" w:hAnsi="Calibri"/>
                <w:sz w:val="22"/>
              </w:rPr>
              <w:t>GOOS wholesale +65%; GIL wholesale inventory in balance; VFC Timberland wholesale solid</w:t>
            </w:r>
          </w:p>
        </w:tc>
        <w:tc>
          <w:tcPr>
            <w:tcW w:type="dxa" w:w="2160"/>
          </w:tcPr>
          <w:p>
            <w:r>
              <w:rPr>
                <w:rFonts w:ascii="Calibri" w:hAnsi="Calibri"/>
                <w:sz w:val="22"/>
              </w:rPr>
              <w:t>Supportive of RL's Europe wholesale (guided for strongest Q1 growth) and NA wholesale</w:t>
            </w:r>
          </w:p>
        </w:tc>
      </w:tr>
      <w:tr>
        <w:tc>
          <w:tcPr>
            <w:tcW w:type="dxa" w:w="2160"/>
          </w:tcPr>
          <w:p>
            <w:r>
              <w:rPr>
                <w:rFonts w:ascii="Calibri" w:hAnsi="Calibri"/>
                <w:sz w:val="22"/>
              </w:rPr>
              <w:t>North America DTC</w:t>
            </w:r>
          </w:p>
        </w:tc>
        <w:tc>
          <w:tcPr>
            <w:tcW w:type="dxa" w:w="2160"/>
          </w:tcPr>
          <w:p>
            <w:r>
              <w:rPr>
                <w:rFonts w:ascii="Calibri" w:hAnsi="Calibri"/>
                <w:b/>
                <w:sz w:val="22"/>
              </w:rPr>
              <w:t>Mixed</w:t>
            </w:r>
          </w:p>
        </w:tc>
        <w:tc>
          <w:tcPr>
            <w:tcW w:type="dxa" w:w="2160"/>
          </w:tcPr>
          <w:p>
            <w:r>
              <w:rPr>
                <w:rFonts w:ascii="Calibri" w:hAnsi="Calibri"/>
                <w:sz w:val="22"/>
              </w:rPr>
              <w:t>VFC Americas DTC +5%; GOOS NA DTC double-digit growth; COLM U.S. DTC soft with higher discounts</w:t>
            </w:r>
          </w:p>
        </w:tc>
        <w:tc>
          <w:tcPr>
            <w:tcW w:type="dxa" w:w="2160"/>
          </w:tcPr>
          <w:p>
            <w:r>
              <w:rPr>
                <w:rFonts w:ascii="Calibri" w:hAnsi="Calibri"/>
                <w:sz w:val="22"/>
              </w:rPr>
              <w:t>RL's premium positioning and full-price discipline should insulate it from COLM-style promotional pressure</w:t>
            </w:r>
          </w:p>
        </w:tc>
      </w:tr>
      <w:tr>
        <w:tc>
          <w:tcPr>
            <w:tcW w:type="dxa" w:w="2160"/>
          </w:tcPr>
          <w:p>
            <w:r>
              <w:rPr>
                <w:rFonts w:ascii="Calibri" w:hAnsi="Calibri"/>
                <w:sz w:val="22"/>
              </w:rPr>
              <w:t>EMEA Store Traffic / DTC</w:t>
            </w:r>
          </w:p>
        </w:tc>
        <w:tc>
          <w:tcPr>
            <w:tcW w:type="dxa" w:w="2160"/>
          </w:tcPr>
          <w:p>
            <w:r>
              <w:rPr>
                <w:rFonts w:ascii="Calibri" w:hAnsi="Calibri"/>
                <w:b/>
                <w:color w:val="E5484D"/>
                <w:sz w:val="22"/>
              </w:rPr>
              <w:t>Negative</w:t>
            </w:r>
          </w:p>
        </w:tc>
        <w:tc>
          <w:tcPr>
            <w:tcW w:type="dxa" w:w="2160"/>
          </w:tcPr>
          <w:p>
            <w:r>
              <w:rPr>
                <w:rFonts w:ascii="Calibri" w:hAnsi="Calibri"/>
                <w:sz w:val="22"/>
              </w:rPr>
              <w:t>GOOS EMEA -7%, traffic "down everywhere"; VFC EMEA -7%; COLM EMEA DTC higher promotional activity; Middle East headwind confirmed by multiple peers</w:t>
            </w:r>
          </w:p>
        </w:tc>
        <w:tc>
          <w:tcPr>
            <w:tcW w:type="dxa" w:w="2160"/>
          </w:tcPr>
          <w:p>
            <w:r>
              <w:rPr>
                <w:rFonts w:ascii="Calibri" w:hAnsi="Calibri"/>
                <w:sz w:val="22"/>
              </w:rPr>
              <w:t>Key downside risk to RL's European segment; watch for whether "strongest Q1" Europe wholesale growth materialized</w:t>
            </w:r>
          </w:p>
        </w:tc>
      </w:tr>
      <w:tr>
        <w:tc>
          <w:tcPr>
            <w:tcW w:type="dxa" w:w="2160"/>
          </w:tcPr>
          <w:p>
            <w:r>
              <w:rPr>
                <w:rFonts w:ascii="Calibri" w:hAnsi="Calibri"/>
                <w:sz w:val="22"/>
              </w:rPr>
              <w:t>Gross Margin Trajectory</w:t>
            </w:r>
          </w:p>
        </w:tc>
        <w:tc>
          <w:tcPr>
            <w:tcW w:type="dxa" w:w="2160"/>
          </w:tcPr>
          <w:p>
            <w:r>
              <w:rPr>
                <w:rFonts w:ascii="Calibri" w:hAnsi="Calibri"/>
                <w:b/>
                <w:sz w:val="22"/>
              </w:rPr>
              <w:t>Mixed</w:t>
            </w:r>
          </w:p>
        </w:tc>
        <w:tc>
          <w:tcPr>
            <w:tcW w:type="dxa" w:w="2160"/>
          </w:tcPr>
          <w:p>
            <w:r>
              <w:rPr>
                <w:rFonts w:ascii="Calibri" w:hAnsi="Calibri"/>
                <w:sz w:val="22"/>
              </w:rPr>
              <w:t>GOOS +100 bps; VFC slightly up; COLM -50 bps ex-refunds (promotional pressure); GIL adjusted +300 bps</w:t>
            </w:r>
          </w:p>
        </w:tc>
        <w:tc>
          <w:tcPr>
            <w:tcW w:type="dxa" w:w="2160"/>
          </w:tcPr>
          <w:p>
            <w:r>
              <w:rPr>
                <w:rFonts w:ascii="Calibri" w:hAnsi="Calibri"/>
                <w:sz w:val="22"/>
              </w:rPr>
              <w:t>Sector gross margin expansion trend intact for premium brands; promotional pressure at mass/outdoor level less relevant to RL</w:t>
            </w:r>
          </w:p>
        </w:tc>
      </w:tr>
      <w:tr>
        <w:tc>
          <w:tcPr>
            <w:tcW w:type="dxa" w:w="2160"/>
          </w:tcPr>
          <w:p>
            <w:r>
              <w:rPr>
                <w:rFonts w:ascii="Calibri" w:hAnsi="Calibri"/>
                <w:sz w:val="22"/>
              </w:rPr>
              <w:t>Tariff Environment</w:t>
            </w:r>
          </w:p>
        </w:tc>
        <w:tc>
          <w:tcPr>
            <w:tcW w:type="dxa" w:w="2160"/>
          </w:tcPr>
          <w:p>
            <w:r>
              <w:rPr>
                <w:rFonts w:ascii="Calibri" w:hAnsi="Calibri"/>
                <w:b/>
                <w:sz w:val="22"/>
              </w:rPr>
              <w:t>Neutral</w:t>
            </w:r>
          </w:p>
        </w:tc>
        <w:tc>
          <w:tcPr>
            <w:tcW w:type="dxa" w:w="2160"/>
          </w:tcPr>
          <w:p>
            <w:r>
              <w:rPr>
                <w:rFonts w:ascii="Calibri" w:hAnsi="Calibri"/>
                <w:sz w:val="22"/>
              </w:rPr>
              <w:t>VFC neutral P&amp;L impact; COLM assumes 10%–12.5% rates; GIL receiving refunds (not applicable to RL)</w:t>
            </w:r>
          </w:p>
        </w:tc>
        <w:tc>
          <w:tcPr>
            <w:tcW w:type="dxa" w:w="2160"/>
          </w:tcPr>
          <w:p>
            <w:r>
              <w:rPr>
                <w:rFonts w:ascii="Calibri" w:hAnsi="Calibri"/>
                <w:sz w:val="22"/>
              </w:rPr>
              <w:t>10% tariff rate environment is manageable and consistent with RL's H1 FY27 guidance assumption</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