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RMD (ResMed) before writing the preview. Let me start by gathering recent earnings materials, filings, and news.Let me read the most recent quarter's materials (2026Q3) and pull recent news closer to the report date.Let me get the Q3 earnings release for precise figures, recent stock performance, and analyst consensus expectations.The stock has been on a notable decline over the past year. Let me check recent news drivers and analyst consensus expectations.Let me get the specific Q4 consensus details from the recent preview articles.Let me grab the year-ago (Q4 FY25) figures for an accurate YoY comparison base.# ResMed (RMD) — Q4 FY2026 Earnings Preview</w:t>
      </w:r>
    </w:p>
    <w:bookmarkStart w:id="9" w:name="Xc0bc448e5ec610d577688e69391f34d1fdf914f"/>
    <w:p>
      <w:pPr>
        <w:pStyle w:val="Heading3"/>
      </w:pPr>
      <w:r>
        <w:t xml:space="preserve">Reports after market close, Thursday August 6, 2026 · Call 4:30 p.m. ET</w:t>
      </w:r>
    </w:p>
    <w:p>
      <w:r>
        <w:pict>
          <v:rect style="width:0;height:1.5pt" o:hralign="center" o:hrstd="t" o:hr="t"/>
        </w:pict>
      </w:r>
    </w:p>
    <w:bookmarkEnd w:id="9"/>
    <w:bookmarkStart w:id="10" w:name="the-setup-cheap-stock-loaded-debate"/>
    <w:p>
      <w:pPr>
        <w:pStyle w:val="Heading2"/>
      </w:pPr>
      <w:r>
        <w:t xml:space="preserve">The setup: cheap stock, loaded debate</w:t>
      </w:r>
    </w:p>
    <w:p>
      <w:pPr>
        <w:pStyle w:val="FirstParagraph"/>
      </w:pPr>
      <w:r>
        <w:t xml:space="preserve">ResMed heads into its fiscal Q4 (quarter ended June 30, 2026) print as a fundamentally strong, controversial stock. The business keeps compounding — double-digit revenue growth, expanding margins, 100%+ free-cash-flow conversion — yet the shares spent most of 2026 in a downtrend on fears that GLP-1 weight-loss drugs and a resurgent Philips will eventually erode the sleep-apnea franchise.</w:t>
      </w:r>
    </w:p>
    <w:p>
      <w:pPr>
        <w:pStyle w:val="BodyText"/>
      </w:pPr>
      <w:r>
        <w:rPr>
          <w:b/>
          <w:bCs/>
        </w:rPr>
        <w:t xml:space="preserve">Price action tells the story of the debate:</w:t>
      </w:r>
    </w:p>
    <w:p>
      <w:pPr>
        <w:pStyle w:val="Compact"/>
        <w:numPr>
          <w:ilvl w:val="0"/>
          <w:numId w:val="1001"/>
        </w:numPr>
      </w:pPr>
      <w:r>
        <w:t xml:space="preserve">Roughly a year ago (early Aug 2025) the stock traded near</w:t>
      </w:r>
      <w:r>
        <w:t xml:space="preserve"> </w:t>
      </w:r>
      <w:r>
        <w:rPr>
          <w:b/>
          <w:bCs/>
        </w:rPr>
        <w:t xml:space="preserve">$280</w:t>
      </w:r>
      <w:r>
        <w:t xml:space="preserve">.</w:t>
      </w:r>
    </w:p>
    <w:p>
      <w:pPr>
        <w:pStyle w:val="Compact"/>
        <w:numPr>
          <w:ilvl w:val="0"/>
          <w:numId w:val="1001"/>
        </w:numPr>
      </w:pPr>
      <w:r>
        <w:t xml:space="preserve">It bottomed around</w:t>
      </w:r>
      <w:r>
        <w:t xml:space="preserve"> </w:t>
      </w:r>
      <w:r>
        <w:rPr>
          <w:b/>
          <w:bCs/>
        </w:rPr>
        <w:t xml:space="preserve">$182</w:t>
      </w:r>
      <w:r>
        <w:t xml:space="preserve"> </w:t>
      </w:r>
      <w:r>
        <w:t xml:space="preserve">in early June 2026 (near 52-week lows), pressured by a June Morgan Stanley downgrade explicitly tied to GLP-1s and Philips' U.S. PAP re-entry.</w:t>
      </w:r>
    </w:p>
    <w:p>
      <w:pPr>
        <w:pStyle w:val="Compact"/>
        <w:numPr>
          <w:ilvl w:val="0"/>
          <w:numId w:val="1001"/>
        </w:numPr>
      </w:pPr>
      <w:r>
        <w:t xml:space="preserve">It has since rallied hard into the print, closing **</w:t>
      </w:r>
      <m:oMath>
        <m:r>
          <m:t>224.07</m:t>
        </m:r>
        <m:r>
          <m:t>o</m:t>
        </m:r>
        <m:r>
          <m:t>n</m:t>
        </m:r>
        <m:r>
          <m:t>A</m:t>
        </m:r>
        <m:r>
          <m:t>u</m:t>
        </m:r>
        <m:r>
          <m:t>g</m:t>
        </m:r>
        <m:r>
          <m:t>5</m:t>
        </m:r>
        <m:r>
          <m:rPr>
            <m:sty m:val="p"/>
          </m:rPr>
          <m:t>*</m:t>
        </m:r>
        <m:r>
          <m:rPr>
            <m:sty m:val="p"/>
          </m:rPr>
          <m:t>*</m:t>
        </m:r>
        <m:r>
          <m:rPr>
            <m:sty m:val="p"/>
          </m:rPr>
          <m:t>,</m:t>
        </m:r>
        <m:r>
          <m:t>u</m:t>
        </m:r>
        <m:r>
          <m:t>p</m:t>
        </m:r>
        <m:r>
          <m:t> </m:t>
        </m:r>
        <m:r>
          <m:t>17</m:t>
        </m:r>
      </m:oMath>
      <w:r>
        <w:t xml:space="preserve">192 on July 22).</w:t>
      </w:r>
    </w:p>
    <w:p>
      <w:pPr>
        <w:pStyle w:val="FirstParagraph"/>
      </w:pPr>
      <w:r>
        <w:t xml:space="preserve">So expectations have re-inflated somewhat, but the stock still sits well below year-ago levels and trades at a below-historical-average forward multiple (~17x). This is a "prove the GLP-1 fear is wrong" quarter as much as a numbers quarter.</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Q4 FY26 Consensus</w:t>
            </w:r>
          </w:p>
        </w:tc>
        <w:tc>
          <w:tcPr/>
          <w:p>
            <w:pPr>
              <w:pStyle w:val="Compact"/>
            </w:pPr>
            <w:r>
              <w:t xml:space="preserve">Q4 FY25 Actual</w:t>
            </w:r>
          </w:p>
        </w:tc>
        <w:tc>
          <w:tcPr/>
          <w:p>
            <w:pPr>
              <w:pStyle w:val="Compact"/>
            </w:pPr>
            <w:r>
              <w:t xml:space="preserve">Implied Y/Y</w:t>
            </w:r>
          </w:p>
        </w:tc>
      </w:tr>
      <w:tr>
        <w:tc>
          <w:tcPr/>
          <w:p>
            <w:pPr>
              <w:pStyle w:val="Compact"/>
            </w:pPr>
            <w:r>
              <w:t xml:space="preserve">Revenue</w:t>
            </w:r>
          </w:p>
        </w:tc>
        <w:tc>
          <w:tcPr/>
          <w:p>
            <w:pPr>
              <w:pStyle w:val="Compact"/>
            </w:pPr>
            <w:r>
              <w:t xml:space="preserve">~$1.46B</w:t>
            </w:r>
          </w:p>
        </w:tc>
        <w:tc>
          <w:tcPr/>
          <w:p>
            <w:pPr>
              <w:pStyle w:val="Compact"/>
            </w:pPr>
            <w:r>
              <w:t xml:space="preserve">$1,348.0M</w:t>
            </w:r>
          </w:p>
        </w:tc>
        <w:tc>
          <w:tcPr/>
          <w:p>
            <w:pPr>
              <w:pStyle w:val="Compact"/>
            </w:pPr>
            <w:r>
              <w:t xml:space="preserve">~+8–9%</w:t>
            </w:r>
          </w:p>
        </w:tc>
      </w:tr>
      <w:tr>
        <w:tc>
          <w:tcPr/>
          <w:p>
            <w:pPr>
              <w:pStyle w:val="Compact"/>
            </w:pPr>
            <w:r>
              <w:t xml:space="preserve">Non-GAAP EPS</w:t>
            </w:r>
          </w:p>
        </w:tc>
        <w:tc>
          <w:tcPr/>
          <w:p>
            <w:pPr>
              <w:pStyle w:val="Compact"/>
            </w:pPr>
            <w:r>
              <w:t xml:space="preserve">~$2.89–2.90</w:t>
            </w:r>
          </w:p>
        </w:tc>
        <w:tc>
          <w:tcPr/>
          <w:p>
            <w:pPr>
              <w:pStyle w:val="Compact"/>
            </w:pPr>
            <w:r>
              <w:t xml:space="preserve">$2.55</w:t>
            </w:r>
          </w:p>
        </w:tc>
        <w:tc>
          <w:tcPr/>
          <w:p>
            <w:pPr>
              <w:pStyle w:val="Compact"/>
            </w:pPr>
            <w:r>
              <w:t xml:space="preserve">~+13–14%</w:t>
            </w:r>
          </w:p>
        </w:tc>
      </w:tr>
    </w:tbl>
    <w:p>
      <w:pPr>
        <w:pStyle w:val="Compact"/>
        <w:numPr>
          <w:ilvl w:val="0"/>
          <w:numId w:val="1002"/>
        </w:numPr>
      </w:pPr>
      <w:r>
        <w:t xml:space="preserve">Full-year FY26 consensus lands around</w:t>
      </w:r>
      <w:r>
        <w:t xml:space="preserve"> </w:t>
      </w:r>
      <w:r>
        <w:rPr>
          <w:b/>
          <w:bCs/>
        </w:rPr>
        <w:t xml:space="preserve">~</w:t>
      </w:r>
      <m:oMath>
        <m:r>
          <m:t>5.65</m:t>
        </m:r>
        <m:r>
          <m:t>B</m:t>
        </m:r>
        <m:r>
          <m:t>r</m:t>
        </m:r>
        <m:r>
          <m:t>e</m:t>
        </m:r>
        <m:r>
          <m:t>v</m:t>
        </m:r>
        <m:r>
          <m:t>e</m:t>
        </m:r>
        <m:r>
          <m:t>n</m:t>
        </m:r>
        <m:r>
          <m:t>u</m:t>
        </m:r>
        <m:r>
          <m:t>e</m:t>
        </m:r>
        <m:r>
          <m:rPr>
            <m:sty m:val="p"/>
          </m:rPr>
          <m:t>*</m:t>
        </m:r>
        <m:r>
          <m:rPr>
            <m:sty m:val="p"/>
          </m:rPr>
          <m:t>*</m:t>
        </m:r>
        <m:r>
          <m:t>a</m:t>
        </m:r>
        <m:r>
          <m:t>n</m:t>
        </m:r>
        <m:r>
          <m:t>d</m:t>
        </m:r>
        <m:r>
          <m:rPr>
            <m:sty m:val="p"/>
          </m:rPr>
          <m:t>*</m:t>
        </m:r>
        <m:r>
          <m:rPr>
            <m:sty m:val="p"/>
          </m:rPr>
          <m:t>*</m:t>
        </m:r>
        <m:r>
          <m:t> </m:t>
        </m:r>
      </m:oMath>
      <w:r>
        <w:rPr>
          <w:b/>
          <w:bCs/>
        </w:rPr>
        <w:t xml:space="preserve">11.11 non-GAAP EPS</w:t>
      </w:r>
      <w:r>
        <w:t xml:space="preserve"> </w:t>
      </w:r>
      <w:r>
        <w:t xml:space="preserve">(vs. $5.15B / $9.55 in FY25).</w:t>
      </w:r>
    </w:p>
    <w:p>
      <w:pPr>
        <w:pStyle w:val="Compact"/>
        <w:numPr>
          <w:ilvl w:val="0"/>
          <w:numId w:val="1002"/>
        </w:numPr>
      </w:pPr>
      <w:r>
        <w:t xml:space="preserve">With 9 months already booked at</w:t>
      </w:r>
      <w:r>
        <w:t xml:space="preserve"> </w:t>
      </w:r>
      <m:oMath>
        <m:r>
          <m:t>4</m:t>
        </m:r>
        <m:r>
          <m:rPr>
            <m:sty m:val="p"/>
          </m:rPr>
          <m:t>,</m:t>
        </m:r>
        <m:r>
          <m:t>189.8</m:t>
        </m:r>
        <m:r>
          <m:t>M</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8.22 non-GAAP EPS</w:t>
      </w:r>
      <w:r>
        <w:t xml:space="preserve">, the Q4 bar is well-telegraphed. ResMed has beaten EPS in each of the last four quarters (Q3 came in at $2.86 non-GAAP, +21% y/y).</w:t>
      </w:r>
    </w:p>
    <w:p>
      <w:pPr>
        <w:pStyle w:val="Compact"/>
        <w:numPr>
          <w:ilvl w:val="0"/>
          <w:numId w:val="1002"/>
        </w:numPr>
      </w:pPr>
      <w:r>
        <w:t xml:space="preserve">Q4 is a fiscal year-end quarter and typically lacks the deductible-driven seasonal lift of the December quarter — recall U.S. device growth stepped down from ~7–8% (Q2) to 6% (Q3) partly on seasonality.</w:t>
      </w:r>
    </w:p>
    <w:p>
      <w:r>
        <w:pict>
          <v:rect style="width:0;height:1.5pt" o:hralign="center" o:hrstd="t" o:hr="t"/>
        </w:pict>
      </w:r>
    </w:p>
    <w:bookmarkEnd w:id="11"/>
    <w:bookmarkStart w:id="17" w:name="Xfdf8d3b54b4d93d14ed7b3886d8fe3203174705"/>
    <w:p>
      <w:pPr>
        <w:pStyle w:val="Heading2"/>
      </w:pPr>
      <w:r>
        <w:t xml:space="preserve">The five things that actually move the stock</w:t>
      </w:r>
    </w:p>
    <w:bookmarkStart w:id="12" w:name="Xf580dbd16e6135239571eae2f5e9b66d89a2e0e"/>
    <w:p>
      <w:pPr>
        <w:pStyle w:val="Heading3"/>
      </w:pPr>
      <w:r>
        <w:t xml:space="preserve">1. GLP-1s — the whole ballgame</w:t>
      </w:r>
    </w:p>
    <w:p>
      <w:pPr>
        <w:pStyle w:val="FirstParagraph"/>
      </w:pPr>
      <w:r>
        <w:t xml:space="preserve">This is the central bull/bear axis. Management's position is aggressive and data-backed: they call GLP-1s a</w:t>
      </w:r>
      <w:r>
        <w:t xml:space="preserve"> </w:t>
      </w:r>
      <w:r>
        <w:rPr>
          <w:b/>
          <w:bCs/>
        </w:rPr>
        <w:t xml:space="preserve">"once-in-a-generation demand-gen opportunity."</w:t>
      </w:r>
      <w:r>
        <w:t xml:space="preserve"> </w:t>
      </w:r>
      <w:r>
        <w:t xml:space="preserve">On the Q3 call they laid out real-world evidence from a 2.1M-patient claims cohort showing patients with both PAP and GLP-1 scripts are</w:t>
      </w:r>
      <w:r>
        <w:t xml:space="preserve"> </w:t>
      </w:r>
      <w:r>
        <w:rPr>
          <w:b/>
          <w:bCs/>
        </w:rPr>
        <w:t xml:space="preserve">~11% more likely to start PAP</w:t>
      </w:r>
      <w:r>
        <w:t xml:space="preserve"> </w:t>
      </w:r>
      <w:r>
        <w:t xml:space="preserve">and more likely to resupply at 1 and 3 years, plus a separate 1.7M-patient analysis showing PAP patients who later add a GLP-1 have higher long-term resupply. Watch for:</w:t>
      </w:r>
    </w:p>
    <w:p>
      <w:pPr>
        <w:pStyle w:val="Compact"/>
        <w:numPr>
          <w:ilvl w:val="0"/>
          <w:numId w:val="1003"/>
        </w:numPr>
      </w:pPr>
      <w:r>
        <w:rPr>
          <w:b/>
          <w:bCs/>
        </w:rPr>
        <w:t xml:space="preserve">Fresh GLP-1 cohort data</w:t>
      </w:r>
      <w:r>
        <w:t xml:space="preserve"> </w:t>
      </w:r>
      <w:r>
        <w:t xml:space="preserve">(management keeps updating it each quarter).</w:t>
      </w:r>
    </w:p>
    <w:p>
      <w:pPr>
        <w:pStyle w:val="Compact"/>
        <w:numPr>
          <w:ilvl w:val="0"/>
          <w:numId w:val="1003"/>
        </w:numPr>
      </w:pPr>
      <w:r>
        <w:t xml:space="preserve">Commentary on the</w:t>
      </w:r>
      <w:r>
        <w:t xml:space="preserve"> </w:t>
      </w:r>
      <w:r>
        <w:rPr>
          <w:b/>
          <w:bCs/>
        </w:rPr>
        <w:t xml:space="preserve">oral GLP-1 pill rollout</w:t>
      </w:r>
      <w:r>
        <w:t xml:space="preserve">, which management frames as a broader-population, multi-year tailwind rather than a near-term risk.</w:t>
      </w:r>
    </w:p>
    <w:p>
      <w:pPr>
        <w:pStyle w:val="Compact"/>
        <w:numPr>
          <w:ilvl w:val="0"/>
          <w:numId w:val="1003"/>
        </w:numPr>
      </w:pPr>
      <w:r>
        <w:t xml:space="preserve">Whether Lilly's Zepbound OSA "Don't Sleep on OSA" ad spend is visibly pulling patients into the diagnostic funnel.</w:t>
      </w:r>
    </w:p>
    <w:bookmarkEnd w:id="12"/>
    <w:bookmarkStart w:id="13" w:name="X424a9ed6f4b60affaf1d7d4ab6ae3e4ecb05d72"/>
    <w:p>
      <w:pPr>
        <w:pStyle w:val="Heading3"/>
      </w:pPr>
      <w:r>
        <w:t xml:space="preserve">2. U.S. device growth trajectory</w:t>
      </w:r>
    </w:p>
    <w:p>
      <w:pPr>
        <w:pStyle w:val="FirstParagraph"/>
      </w:pPr>
      <w:r>
        <w:t xml:space="preserve">U.S./Canada/LatAm devices grew 6% in Q3 (high end of the mid-single-digit range management guides to). Any deceleration will be read as GLP-1/Philips share loss; any acceleration is a bull confirmation. This is the single most scrutinized line item.</w:t>
      </w:r>
    </w:p>
    <w:bookmarkEnd w:id="13"/>
    <w:bookmarkStart w:id="14" w:name="Xa0265d879e9c777a2efea1d2c9c1a246fc9022a"/>
    <w:p>
      <w:pPr>
        <w:pStyle w:val="Heading3"/>
      </w:pPr>
      <w:r>
        <w:t xml:space="preserve">3. Gross margin &amp; the FY26 guide</w:t>
      </w:r>
    </w:p>
    <w:p>
      <w:pPr>
        <w:pStyle w:val="FirstParagraph"/>
      </w:pPr>
      <w:r>
        <w:t xml:space="preserve">Non-GAAP gross margin was</w:t>
      </w:r>
      <w:r>
        <w:t xml:space="preserve"> </w:t>
      </w:r>
      <w:r>
        <w:rPr>
          <w:b/>
          <w:bCs/>
        </w:rPr>
        <w:t xml:space="preserve">62.8% in Q3 (+290bps y/y)</w:t>
      </w:r>
      <w:r>
        <w:t xml:space="preserve">, and management reiterated a</w:t>
      </w:r>
      <w:r>
        <w:t xml:space="preserve"> </w:t>
      </w:r>
      <w:r>
        <w:rPr>
          <w:b/>
          <w:bCs/>
        </w:rPr>
        <w:t xml:space="preserve">62–63% FY26 range</w:t>
      </w:r>
      <w:r>
        <w:t xml:space="preserve"> </w:t>
      </w:r>
      <w:r>
        <w:t xml:space="preserve">and a long-term goal of continued annual expansion through 2030. But they flagged</w:t>
      </w:r>
      <w:r>
        <w:t xml:space="preserve"> </w:t>
      </w:r>
      <w:r>
        <w:rPr>
          <w:b/>
          <w:bCs/>
        </w:rPr>
        <w:t xml:space="preserve">emerging component cost pressure and fuel/freight headwinds</w:t>
      </w:r>
      <w:r>
        <w:t xml:space="preserve"> </w:t>
      </w:r>
      <w:r>
        <w:t xml:space="preserve">from geopolitical uncertainty. Q4 is the last quarter to land inside the FY26 band — watch the margin cadence and any 2027 tariff/component commentary.</w:t>
      </w:r>
    </w:p>
    <w:bookmarkEnd w:id="14"/>
    <w:bookmarkStart w:id="15" w:name="Xd540dbadba6a218c839f301d77bb468e7d60133"/>
    <w:p>
      <w:pPr>
        <w:pStyle w:val="Heading3"/>
      </w:pPr>
      <w:r>
        <w:t xml:space="preserve">4. First look at FY2027</w:t>
      </w:r>
    </w:p>
    <w:p>
      <w:pPr>
        <w:pStyle w:val="FirstParagraph"/>
      </w:pPr>
      <w:r>
        <w:t xml:space="preserve">Management has repeatedly reiterated a 5-year framework of</w:t>
      </w:r>
      <w:r>
        <w:t xml:space="preserve"> </w:t>
      </w:r>
      <w:r>
        <w:rPr>
          <w:b/>
          <w:bCs/>
        </w:rPr>
        <w:t xml:space="preserve">high-single-digit revenue growth with EPS growth outpacing revenue.</w:t>
      </w:r>
      <w:r>
        <w:t xml:space="preserve"> </w:t>
      </w:r>
      <w:r>
        <w:t xml:space="preserve">As the fiscal-year-end call, expect the first framing of FY27 drivers: fabric mask expansion, AirSense 11 rollout (China, LatAm), GLP-1 funnel, and a targeted</w:t>
      </w:r>
      <w:r>
        <w:t xml:space="preserve"> </w:t>
      </w:r>
      <w:r>
        <w:rPr>
          <w:b/>
          <w:bCs/>
        </w:rPr>
        <w:t xml:space="preserve">re-acceleration of Residential Care Software to high-single-digit growth with double-digit operating-profit growth in FY27.</w:t>
      </w:r>
    </w:p>
    <w:bookmarkEnd w:id="15"/>
    <w:bookmarkStart w:id="16" w:name="Xb03d35af0713ac30ade78f43a31def81218eaf9"/>
    <w:p>
      <w:pPr>
        <w:pStyle w:val="Heading3"/>
      </w:pPr>
      <w:r>
        <w:t xml:space="preserve">5. Management transition</w:t>
      </w:r>
    </w:p>
    <w:p>
      <w:pPr>
        <w:pStyle w:val="Compact"/>
        <w:numPr>
          <w:ilvl w:val="0"/>
          <w:numId w:val="1004"/>
        </w:numPr>
      </w:pPr>
      <w:r>
        <w:rPr>
          <w:b/>
          <w:bCs/>
        </w:rPr>
        <w:t xml:space="preserve">CFO change:</w:t>
      </w:r>
      <w:r>
        <w:t xml:space="preserve"> </w:t>
      </w:r>
      <w:r>
        <w:t xml:space="preserve">Longtime CFO</w:t>
      </w:r>
      <w:r>
        <w:t xml:space="preserve"> </w:t>
      </w:r>
      <w:r>
        <w:rPr>
          <w:b/>
          <w:bCs/>
        </w:rPr>
        <w:t xml:space="preserve">Brett Sandercock is retiring</w:t>
      </w:r>
      <w:r>
        <w:t xml:space="preserve"> </w:t>
      </w:r>
      <w:r>
        <w:t xml:space="preserve">(Q3 was billed as his last earnings call);</w:t>
      </w:r>
      <w:r>
        <w:t xml:space="preserve"> </w:t>
      </w:r>
      <w:r>
        <w:rPr>
          <w:b/>
          <w:bCs/>
        </w:rPr>
        <w:t xml:space="preserve">Aaron Bloomer</w:t>
      </w:r>
      <w:r>
        <w:t xml:space="preserve"> </w:t>
      </w:r>
      <w:r>
        <w:t xml:space="preserve">(ex-Exact Sciences, prior 3M/Baxter) takes over. Q4 is likely Bloomer's introduction to the Street — his tone on guidance philosophy and capital allocation matters.</w:t>
      </w:r>
    </w:p>
    <w:p>
      <w:pPr>
        <w:pStyle w:val="Compact"/>
        <w:numPr>
          <w:ilvl w:val="0"/>
          <w:numId w:val="1004"/>
        </w:numPr>
      </w:pPr>
      <w:r>
        <w:t xml:space="preserve">Prior CCO Bobby Ghoshal also stepped down (announced mid-2025).</w:t>
      </w:r>
    </w:p>
    <w:p>
      <w:r>
        <w:pict>
          <v:rect style="width:0;height:1.5pt" o:hralign="center" o:hrstd="t" o:hr="t"/>
        </w:pict>
      </w:r>
    </w:p>
    <w:bookmarkEnd w:id="16"/>
    <w:bookmarkEnd w:id="17"/>
    <w:bookmarkStart w:id="18" w:name="secondary-items-to-track"/>
    <w:p>
      <w:pPr>
        <w:pStyle w:val="Heading2"/>
      </w:pPr>
      <w:r>
        <w:t xml:space="preserve">Secondary items to track</w:t>
      </w:r>
    </w:p>
    <w:p>
      <w:pPr>
        <w:pStyle w:val="Compact"/>
        <w:numPr>
          <w:ilvl w:val="0"/>
          <w:numId w:val="1005"/>
        </w:numPr>
      </w:pPr>
      <w:r>
        <w:rPr>
          <w:b/>
          <w:bCs/>
        </w:rPr>
        <w:t xml:space="preserve">Mask momentum / mix:</w:t>
      </w:r>
      <w:r>
        <w:t xml:space="preserve"> </w:t>
      </w:r>
      <w:r>
        <w:t xml:space="preserve">Masks &amp; other grew 12% cc in Q3, driven by fabric masks (AirTouch N30i, F30i Comfort/Clear). N30i shows a claimed</w:t>
      </w:r>
      <w:r>
        <w:t xml:space="preserve"> </w:t>
      </w:r>
      <w:r>
        <w:rPr>
          <w:b/>
          <w:bCs/>
        </w:rPr>
        <w:t xml:space="preserve">6% higher 90-day adherence</w:t>
      </w:r>
      <w:r>
        <w:t xml:space="preserve"> </w:t>
      </w:r>
      <w:r>
        <w:t xml:space="preserve">vs. silicone — a lifetime-value and mix-margin story. Note: some HME channel pushback on fabric-mask reimbursement economics is worth monitoring.</w:t>
      </w:r>
    </w:p>
    <w:p>
      <w:pPr>
        <w:pStyle w:val="Compact"/>
        <w:numPr>
          <w:ilvl w:val="0"/>
          <w:numId w:val="1005"/>
        </w:numPr>
      </w:pPr>
      <w:r>
        <w:rPr>
          <w:b/>
          <w:bCs/>
        </w:rPr>
        <w:t xml:space="preserve">Noctrix (Restless Leg Syndrome):</w:t>
      </w:r>
      <w:r>
        <w:t xml:space="preserve"> </w:t>
      </w:r>
      <m:oMath>
        <m:r>
          <m:t>340</m:t>
        </m:r>
        <m:r>
          <m:t>M</m:t>
        </m:r>
        <m:r>
          <m:t>t</m:t>
        </m:r>
        <m:r>
          <m:t>u</m:t>
        </m:r>
        <m:r>
          <m:t>c</m:t>
        </m:r>
        <m:r>
          <m:t>k</m:t>
        </m:r>
        <m:r>
          <m:rPr>
            <m:sty m:val="p"/>
          </m:rPr>
          <m:t>−</m:t>
        </m:r>
        <m:r>
          <m:t>i</m:t>
        </m:r>
        <m:r>
          <m:t>n</m:t>
        </m:r>
        <m:r>
          <m:t>c</m:t>
        </m:r>
        <m:r>
          <m:t>l</m:t>
        </m:r>
        <m:r>
          <m:t>o</m:t>
        </m:r>
        <m:r>
          <m:t>s</m:t>
        </m:r>
        <m:r>
          <m:t>e</m:t>
        </m:r>
        <m:r>
          <m:t>d</m:t>
        </m:r>
        <m:r>
          <m:t> </m:t>
        </m:r>
        <m:r>
          <m:t>J</m:t>
        </m:r>
        <m:r>
          <m:t>u</m:t>
        </m:r>
        <m:r>
          <m:t>n</m:t>
        </m:r>
        <m:r>
          <m:t>e</m:t>
        </m:r>
        <m:r>
          <m:t>1</m:t>
        </m:r>
        <m:r>
          <m:rPr>
            <m:sty m:val="p"/>
          </m:rPr>
          <m:t>,</m:t>
        </m:r>
        <m:r>
          <m:t>s</m:t>
        </m:r>
        <m:r>
          <m:t>o</m:t>
        </m:r>
        <m:r>
          <m:t>Q</m:t>
        </m:r>
        <m:r>
          <m:t>4</m:t>
        </m:r>
        <m:r>
          <m:t>i</m:t>
        </m:r>
        <m:r>
          <m:t>n</m:t>
        </m:r>
        <m:r>
          <m:t>c</m:t>
        </m:r>
        <m:r>
          <m:t>l</m:t>
        </m:r>
        <m:r>
          <m:t>u</m:t>
        </m:r>
        <m:r>
          <m:t>d</m:t>
        </m:r>
        <m:r>
          <m:t>e</m:t>
        </m:r>
        <m:r>
          <m:t>s</m:t>
        </m:r>
        <m:r>
          <m:t> </m:t>
        </m:r>
        <m:r>
          <m:t>1</m:t>
        </m:r>
        <m:r>
          <m:t>m</m:t>
        </m:r>
        <m:r>
          <m:t>o</m:t>
        </m:r>
        <m:r>
          <m:t>n</m:t>
        </m:r>
        <m:r>
          <m:t>t</m:t>
        </m:r>
        <m:r>
          <m:t>h</m:t>
        </m:r>
        <m:r>
          <m:rPr>
            <m:sty m:val="p"/>
          </m:rPr>
          <m:t>,</m:t>
        </m:r>
        <m:r>
          <m:t>r</m:t>
        </m:r>
        <m:r>
          <m:t>e</m:t>
        </m:r>
        <m:r>
          <m:t>p</m:t>
        </m:r>
        <m:r>
          <m:t>o</m:t>
        </m:r>
        <m:r>
          <m:t>r</m:t>
        </m:r>
        <m:r>
          <m:t>t</m:t>
        </m:r>
        <m:r>
          <m:t>e</m:t>
        </m:r>
        <m:r>
          <m:t>d</m:t>
        </m:r>
        <m:r>
          <m:t>w</m:t>
        </m:r>
        <m:r>
          <m:t>i</m:t>
        </m:r>
        <m:r>
          <m:t>t</m:t>
        </m:r>
        <m:r>
          <m:t>h</m:t>
        </m:r>
        <m:r>
          <m:t>i</m:t>
        </m:r>
        <m:r>
          <m:t>n</m:t>
        </m:r>
        <m:r>
          <m:t>A</m:t>
        </m:r>
        <m:r>
          <m:t>m</m:t>
        </m:r>
        <m:r>
          <m:t>e</m:t>
        </m:r>
        <m:r>
          <m:t>r</m:t>
        </m:r>
        <m:r>
          <m:t>i</m:t>
        </m:r>
        <m:r>
          <m:t>c</m:t>
        </m:r>
        <m:r>
          <m:t>a</m:t>
        </m:r>
        <m:r>
          <m:t>s</m:t>
        </m:r>
        <m:r>
          <m:t>d</m:t>
        </m:r>
        <m:r>
          <m:t>e</m:t>
        </m:r>
        <m:r>
          <m:t>v</m:t>
        </m:r>
        <m:r>
          <m:t>i</m:t>
        </m:r>
        <m:r>
          <m:t>c</m:t>
        </m:r>
        <m:r>
          <m:t>e</m:t>
        </m:r>
        <m:r>
          <m:t>s</m:t>
        </m:r>
        <m:r>
          <m:rPr>
            <m:sty m:val="p"/>
          </m:rPr>
          <m:t>.</m:t>
        </m:r>
        <m:r>
          <m:t> </m:t>
        </m:r>
      </m:oMath>
      <w:r>
        <w:t xml:space="preserve">24M annual run-rate, higher growth/margin than RMD, but a</w:t>
      </w:r>
      <w:r>
        <w:t xml:space="preserve"> </w:t>
      </w:r>
      <w:r>
        <w:rPr>
          <w:b/>
          <w:bCs/>
        </w:rPr>
        <w:t xml:space="preserve">~$0.02 EPS dilution</w:t>
      </w:r>
      <w:r>
        <w:t xml:space="preserve"> </w:t>
      </w:r>
      <w:r>
        <w:t xml:space="preserve">in Q4.</w:t>
      </w:r>
    </w:p>
    <w:p>
      <w:pPr>
        <w:pStyle w:val="Compact"/>
        <w:numPr>
          <w:ilvl w:val="0"/>
          <w:numId w:val="1005"/>
        </w:numPr>
      </w:pPr>
      <w:r>
        <w:rPr>
          <w:b/>
          <w:bCs/>
        </w:rPr>
        <w:t xml:space="preserve">VirtuOx anniversary:</w:t>
      </w:r>
      <w:r>
        <w:t xml:space="preserve"> </w:t>
      </w:r>
      <w:r>
        <w:t xml:space="preserve">VirtuOx (acquired Q4 FY25) begins to anniversary — Americas mask/other comps should start normalizing (ex-VirtuOx Americas masks were still double-digit in Q3).</w:t>
      </w:r>
    </w:p>
    <w:p>
      <w:pPr>
        <w:pStyle w:val="Compact"/>
        <w:numPr>
          <w:ilvl w:val="0"/>
          <w:numId w:val="1005"/>
        </w:numPr>
      </w:pPr>
      <w:r>
        <w:rPr>
          <w:b/>
          <w:bCs/>
        </w:rPr>
        <w:t xml:space="preserve">FX:</w:t>
      </w:r>
      <w:r>
        <w:t xml:space="preserve"> </w:t>
      </w:r>
      <w:r>
        <w:t xml:space="preserve">A ~</w:t>
      </w:r>
      <m:oMath>
        <m:r>
          <m:t>39</m:t>
        </m:r>
        <m:r>
          <m:t>M</m:t>
        </m:r>
        <m:r>
          <m:t>r</m:t>
        </m:r>
        <m:r>
          <m:t>e</m:t>
        </m:r>
        <m:r>
          <m:t>v</m:t>
        </m:r>
        <m:r>
          <m:t>e</m:t>
        </m:r>
        <m:r>
          <m:t>n</m:t>
        </m:r>
        <m:r>
          <m:t>u</m:t>
        </m:r>
        <m:r>
          <m:t>e</m:t>
        </m:r>
        <m:r>
          <m:t>a</m:t>
        </m:r>
        <m:r>
          <m:t>n</m:t>
        </m:r>
        <m:r>
          <m:t>d</m:t>
        </m:r>
        <m:r>
          <m:t> </m:t>
        </m:r>
      </m:oMath>
      <w:r>
        <w:t xml:space="preserve">0.05 EPS tailwind in Q3; watch AUD/EUR moves. Net interest income guided to ~$15M in Q4 (aided by a Singapore-dollar net investment hedge).</w:t>
      </w:r>
    </w:p>
    <w:p>
      <w:pPr>
        <w:pStyle w:val="Compact"/>
        <w:numPr>
          <w:ilvl w:val="0"/>
          <w:numId w:val="1005"/>
        </w:numPr>
      </w:pPr>
      <w:r>
        <w:rPr>
          <w:b/>
          <w:bCs/>
        </w:rPr>
        <w:t xml:space="preserve">Capital returns:</w:t>
      </w:r>
      <w:r>
        <w:t xml:space="preserve"> </w:t>
      </w:r>
      <m:oMath>
        <m:r>
          <m:t>0.60</m:t>
        </m:r>
        <m:r>
          <m:rPr>
            <m:sty m:val="p"/>
          </m:rPr>
          <m:t>/</m:t>
        </m:r>
        <m:r>
          <m:t>q</m:t>
        </m:r>
        <m:r>
          <m:t>u</m:t>
        </m:r>
        <m:r>
          <m:t>a</m:t>
        </m:r>
        <m:r>
          <m:t>r</m:t>
        </m:r>
        <m:r>
          <m:t>t</m:t>
        </m:r>
        <m:r>
          <m:t>e</m:t>
        </m:r>
        <m:r>
          <m:t>r</m:t>
        </m:r>
        <m:r>
          <m:t>d</m:t>
        </m:r>
        <m:r>
          <m:t>i</m:t>
        </m:r>
        <m:r>
          <m:t>v</m:t>
        </m:r>
        <m:r>
          <m:t>i</m:t>
        </m:r>
        <m:r>
          <m:t>d</m:t>
        </m:r>
        <m:r>
          <m:t>e</m:t>
        </m:r>
        <m:r>
          <m:t>n</m:t>
        </m:r>
        <m:r>
          <m:t>d</m:t>
        </m:r>
        <m:r>
          <m:rPr>
            <m:sty m:val="p"/>
          </m:rPr>
          <m:t>;</m:t>
        </m:r>
        <m:r>
          <m:t>b</m:t>
        </m:r>
        <m:r>
          <m:t>u</m:t>
        </m:r>
        <m:r>
          <m:t>y</m:t>
        </m:r>
        <m:r>
          <m:t>b</m:t>
        </m:r>
        <m:r>
          <m:t>a</m:t>
        </m:r>
        <m:r>
          <m:t>c</m:t>
        </m:r>
        <m:r>
          <m:t>k</m:t>
        </m:r>
        <m:r>
          <m:t>s</m:t>
        </m:r>
        <m:r>
          <m:t>s</m:t>
        </m:r>
        <m:r>
          <m:t>t</m:t>
        </m:r>
        <m:r>
          <m:t>e</m:t>
        </m:r>
        <m:r>
          <m:t>p</m:t>
        </m:r>
        <m:r>
          <m:t>p</m:t>
        </m:r>
        <m:r>
          <m:t>e</m:t>
        </m:r>
        <m:r>
          <m:t>d</m:t>
        </m:r>
        <m:r>
          <m:t>u</m:t>
        </m:r>
        <m:r>
          <m:t>p</m:t>
        </m:r>
        <m:r>
          <m:t>t</m:t>
        </m:r>
        <m:r>
          <m:t>o</m:t>
        </m:r>
        <m:r>
          <m:rPr>
            <m:sty m:val="p"/>
          </m:rPr>
          <m:t>*</m:t>
        </m:r>
        <m:r>
          <m:rPr>
            <m:sty m:val="p"/>
          </m:rPr>
          <m:t>*</m:t>
        </m:r>
      </m:oMath>
      <w:r>
        <w:t xml:space="preserve">175M/quarter**, with at least</w:t>
      </w:r>
      <w:r>
        <w:t xml:space="preserve"> </w:t>
      </w:r>
      <m:oMath>
        <m:r>
          <m:t>175</m:t>
        </m:r>
        <m:r>
          <m:t>M</m:t>
        </m:r>
        <m:r>
          <m:t>p</m:t>
        </m:r>
        <m:r>
          <m:t>l</m:t>
        </m:r>
        <m:r>
          <m:t>a</m:t>
        </m:r>
        <m:r>
          <m:t>n</m:t>
        </m:r>
        <m:r>
          <m:t>n</m:t>
        </m:r>
        <m:r>
          <m:t>e</m:t>
        </m:r>
        <m:r>
          <m:t>d</m:t>
        </m:r>
        <m:r>
          <m:t>a</m:t>
        </m:r>
        <m:r>
          <m:t>g</m:t>
        </m:r>
        <m:r>
          <m:t>a</m:t>
        </m:r>
        <m:r>
          <m:t>i</m:t>
        </m:r>
        <m:r>
          <m:t>n</m:t>
        </m:r>
        <m:r>
          <m:t>i</m:t>
        </m:r>
        <m:r>
          <m:t>n</m:t>
        </m:r>
        <m:r>
          <m:t>Q</m:t>
        </m:r>
        <m:r>
          <m:t>4</m:t>
        </m:r>
        <m:r>
          <m:rPr>
            <m:sty m:val="p"/>
          </m:rPr>
          <m:t>.</m:t>
        </m:r>
        <m:r>
          <m:t>B</m:t>
        </m:r>
        <m:r>
          <m:t>a</m:t>
        </m:r>
        <m:r>
          <m:t>l</m:t>
        </m:r>
        <m:r>
          <m:t>a</m:t>
        </m:r>
        <m:r>
          <m:t>n</m:t>
        </m:r>
        <m:r>
          <m:t>c</m:t>
        </m:r>
        <m:r>
          <m:t>e</m:t>
        </m:r>
        <m:r>
          <m:t>s</m:t>
        </m:r>
        <m:r>
          <m:t>h</m:t>
        </m:r>
        <m:r>
          <m:t>e</m:t>
        </m:r>
        <m:r>
          <m:t>e</m:t>
        </m:r>
        <m:r>
          <m:t>t</m:t>
        </m:r>
        <m:r>
          <m:t>i</m:t>
        </m:r>
        <m:r>
          <m:t>s</m:t>
        </m:r>
        <m:r>
          <m:t>s</m:t>
        </m:r>
        <m:r>
          <m:t>t</m:t>
        </m:r>
        <m:r>
          <m:t>r</m:t>
        </m:r>
        <m:r>
          <m:t>o</m:t>
        </m:r>
        <m:r>
          <m:t>n</m:t>
        </m:r>
        <m:r>
          <m:t>g</m:t>
        </m:r>
        <m:r>
          <m:rPr>
            <m:sty m:val="p"/>
          </m:rPr>
          <m:t>(</m:t>
        </m:r>
        <m:r>
          <m:t> </m:t>
        </m:r>
      </m:oMath>
      <w:r>
        <w:t xml:space="preserve">1.7B cash, net cash position) — expect a possible dividend action (last year's Q4 raised the dividend 13%).</w:t>
      </w:r>
    </w:p>
    <w:p>
      <w:pPr>
        <w:pStyle w:val="Compact"/>
        <w:numPr>
          <w:ilvl w:val="0"/>
          <w:numId w:val="1005"/>
        </w:numPr>
      </w:pPr>
      <w:r>
        <w:rPr>
          <w:b/>
          <w:bCs/>
        </w:rPr>
        <w:t xml:space="preserve">Tax rate:</w:t>
      </w:r>
      <w:r>
        <w:t xml:space="preserve"> </w:t>
      </w:r>
      <w:r>
        <w:t xml:space="preserve">Guided 21–23% for FY26 (global minimum tax pressure).</w:t>
      </w:r>
    </w:p>
    <w:p>
      <w:pPr>
        <w:pStyle w:val="Compact"/>
        <w:numPr>
          <w:ilvl w:val="0"/>
          <w:numId w:val="1005"/>
        </w:numPr>
      </w:pPr>
      <w:r>
        <w:rPr>
          <w:b/>
          <w:bCs/>
        </w:rPr>
        <w:t xml:space="preserve">Philips:</w:t>
      </w:r>
      <w:r>
        <w:t xml:space="preserve"> </w:t>
      </w:r>
      <w:r>
        <w:t xml:space="preserve">Look for updated commentary on U.S. PAP competition; management downplayed any share impact in Q3.</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The numbers themselves are likely a modest, well-anticipated beat (~</w:t>
      </w:r>
      <m:oMath>
        <m:r>
          <m:t>1.46</m:t>
        </m:r>
        <m:r>
          <m:t>B</m:t>
        </m:r>
        <m:r>
          <m:rPr>
            <m:sty m:val="p"/>
          </m:rPr>
          <m:t>/</m:t>
        </m:r>
        <m:r>
          <m:t> </m:t>
        </m:r>
      </m:oMath>
      <w:r>
        <w:t xml:space="preserve">2.90).</w:t>
      </w:r>
      <w:r>
        <w:t xml:space="preserve"> </w:t>
      </w:r>
      <w:r>
        <w:rPr>
          <w:b/>
          <w:bCs/>
        </w:rPr>
        <w:t xml:space="preserve">The report will be judged on the narrative, not the print:</w:t>
      </w:r>
      <w:r>
        <w:t xml:space="preserve"> </w:t>
      </w:r>
      <w:r>
        <w:t xml:space="preserve">U.S. device growth durability, refreshed GLP-1 real-world data, the FY26 gross-margin finish, and the first credible FY27 framework under a new CFO. With the stock having bounced ~17% into the event but still depressed versus a year ago, the risk/reward hinges on whether management can once again convince investors that GLP-1s are a tailwind — not the beginning of the end — for the sleep-apnea franchise.</w:t>
      </w:r>
    </w:p>
    <w:p>
      <w:pPr>
        <w:pStyle w:val="BodyText"/>
      </w:pPr>
      <w:r>
        <w:rPr>
          <w:i/>
          <w:iCs/>
        </w:rPr>
        <w:t xml:space="preserve">Sources: ResMed Q3 FY26 and Q4 FY25 earnings releases and transcripts; company 8-Ks; consensus and analyst commentary via public news (Zacks, TradingView, Morgan Stanley coverage); historical price data.</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2026-08-06T00:58:59Z</dcterms:created>
  <dcterms:modified xsi:type="dcterms:W3CDTF">2026-08-06T00:58:59Z</dcterms:modified>
</cp:coreProperties>
</file>

<file path=docProps/custom.xml><?xml version="1.0" encoding="utf-8"?>
<Properties xmlns="http://schemas.openxmlformats.org/officeDocument/2006/custom-properties" xmlns:vt="http://schemas.openxmlformats.org/officeDocument/2006/docPropsVTypes"/>
</file>