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md-earnings-predictions--2026-08-06"/>
    <w:p>
      <w:pPr>
        <w:pStyle w:val="Heading1"/>
      </w:pPr>
      <w:r>
        <w:t xml:space="preserve">RMD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(Q4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1.475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1.46B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(Q4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2.98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2.89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Gross Margin (Q4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~63.3% vs. cons ~62.9%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Revenue Growth Framework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~8% vs. cons ~8%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Non-GAAP Gross Margin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~63.5%-64.5% vs. cons/prior FY26 range ~62-63%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Residential Care Software (RCS) growth reacceleration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~high-single-digit (~7-8%) revenue growth w/ double-digit op profit growth vs. cons low-single-digit (~3-4%) (FY2027)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(FADE)</w:t>
            </w:r>
          </w:p>
        </w:tc>
        <w:tc>
          <w:tcPr/>
          <w:p>
            <w:pPr>
              <w:pStyle w:val="Compact"/>
            </w:pPr>
            <w:r>
              <w:t xml:space="preserve">RMD rallied ~17% in the two weeks into the print (vs. SPY roughly flat), a move far outsized relative to any fresh company-specific news, resembling the Feb-2026 (Q2 FY26) pattern where a similar pre-earnings run-up (251→276) was followed by an 11% three-day post-print fade even though the underlying numbers weren't disastrous. With consensus already baked-in for a beat-and-raise and FY27 guidance likely just reaffirming the existing 'Global 2030' high-single-digit growth algorithm (not a step-change), the setup favors profit-taking/'sell-the-news' as short covering and momentum buyers unwind gains, pulling the stock back toward pre-rally levels over the following week absent a distinctly new positive catalyst (e.g., a materially upgraded GLP-1 data set or an above-framework FY27 gross-margin/EPS guide).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2026-08-06T00:59:49Z</dcterms:created>
  <dcterms:modified xsi:type="dcterms:W3CDTF">2026-08-06T00:59:49Z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