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9c4c133c9870f96e921cf55a0ebb58bbf9e5308"/>
    <w:p>
      <w:pPr>
        <w:pStyle w:val="Heading1"/>
      </w:pPr>
      <w:r>
        <w:t xml:space="preserve">ResMed (NYSE: RMD) Fiscal Q4 2026 Earnings Preview</w:t>
      </w:r>
    </w:p>
    <w:p>
      <w:pPr>
        <w:pStyle w:val="BlockText"/>
      </w:pPr>
      <w:r>
        <w:rPr>
          <w:b/>
          <w:bCs/>
        </w:rPr>
        <w:t xml:space="preserve">Timing clarification:</w:t>
      </w:r>
      <w:r>
        <w:t xml:space="preserve"> </w:t>
      </w:r>
      <w:r>
        <w:t xml:space="preserve">ResMed reports</w:t>
      </w:r>
      <w:r>
        <w:t xml:space="preserve"> </w:t>
      </w:r>
      <w:r>
        <w:rPr>
          <w:b/>
          <w:bCs/>
        </w:rPr>
        <w:t xml:space="preserve">today, Thursday, August 6, 2026</w:t>
      </w:r>
      <w:r>
        <w:t xml:space="preserve">, after the NYSE close—not tomorrow. The earnings call begins at</w:t>
      </w:r>
      <w:r>
        <w:t xml:space="preserve"> </w:t>
      </w:r>
      <w:r>
        <w:rPr>
          <w:b/>
          <w:bCs/>
        </w:rPr>
        <w:t xml:space="preserve">4:30 p.m. ET / 1:30 p.m. PT</w:t>
      </w:r>
      <w:r>
        <w:t xml:space="preserve">. (</w:t>
      </w:r>
      <w:hyperlink r:id="rId9">
        <w:r>
          <w:rPr>
            <w:rStyle w:val="Hyperlink"/>
          </w:rPr>
          <w:t xml:space="preserve">investor.resmed.com</w:t>
        </w:r>
      </w:hyperlink>
      <w:r>
        <w:t xml:space="preserve">)</w:t>
      </w:r>
    </w:p>
    <w:bookmarkStart w:id="10" w:name="the-setup"/>
    <w:p>
      <w:pPr>
        <w:pStyle w:val="Heading2"/>
      </w:pPr>
      <w:r>
        <w:t xml:space="preserve">The setup</w:t>
      </w:r>
    </w:p>
    <w:p>
      <w:pPr>
        <w:pStyle w:val="FirstParagraph"/>
      </w:pPr>
      <w:r>
        <w:t xml:space="preserve">ResMed enters the report with strong operating momentum but a much more complicated fiscal 2027 bridge. The June-quarter numbers matter, especially device growth and gross margin, but the stock’s reaction will probably be driven primarily by:</w:t>
      </w:r>
    </w:p>
    <w:p>
      <w:pPr>
        <w:pStyle w:val="Compact"/>
        <w:numPr>
          <w:ilvl w:val="0"/>
          <w:numId w:val="1001"/>
        </w:numPr>
      </w:pPr>
      <w:r>
        <w:rPr>
          <w:b/>
          <w:bCs/>
        </w:rPr>
        <w:t xml:space="preserve">Fiscal 2027 guidance</w:t>
      </w:r>
    </w:p>
    <w:p>
      <w:pPr>
        <w:pStyle w:val="Compact"/>
        <w:numPr>
          <w:ilvl w:val="0"/>
          <w:numId w:val="1001"/>
        </w:numPr>
      </w:pPr>
      <w:r>
        <w:t xml:space="preserve">The financial consequences of selling MatrixCare</w:t>
      </w:r>
    </w:p>
    <w:p>
      <w:pPr>
        <w:pStyle w:val="Compact"/>
        <w:numPr>
          <w:ilvl w:val="0"/>
          <w:numId w:val="1001"/>
        </w:numPr>
      </w:pPr>
      <w:r>
        <w:t xml:space="preserve">Integration and investment costs associated with Noctrix</w:t>
      </w:r>
    </w:p>
    <w:p>
      <w:pPr>
        <w:pStyle w:val="Compact"/>
        <w:numPr>
          <w:ilvl w:val="0"/>
          <w:numId w:val="1001"/>
        </w:numPr>
      </w:pPr>
      <w:r>
        <w:t xml:space="preserve">Whether mask growth remains comfortably above the market</w:t>
      </w:r>
    </w:p>
    <w:p>
      <w:pPr>
        <w:pStyle w:val="Compact"/>
        <w:numPr>
          <w:ilvl w:val="0"/>
          <w:numId w:val="1001"/>
        </w:numPr>
      </w:pPr>
      <w:r>
        <w:t xml:space="preserve">Management’s confidence in continued margin expansion</w:t>
      </w:r>
    </w:p>
    <w:p>
      <w:pPr>
        <w:pStyle w:val="FirstParagraph"/>
      </w:pPr>
      <w:r>
        <w:t xml:space="preserve">The stock closed August 5 at</w:t>
      </w:r>
      <w:r>
        <w:t xml:space="preserve"> </w:t>
      </w:r>
      <w:r>
        <w:rPr>
          <w:b/>
          <w:bCs/>
        </w:rPr>
        <w:t xml:space="preserve">$224.07</w:t>
      </w:r>
      <w:r>
        <w:t xml:space="preserve">, down about</w:t>
      </w:r>
      <w:r>
        <w:t xml:space="preserve"> </w:t>
      </w:r>
      <w:r>
        <w:rPr>
          <w:b/>
          <w:bCs/>
        </w:rPr>
        <w:t xml:space="preserve">20% from a year earlier</w:t>
      </w:r>
      <w:r>
        <w:t xml:space="preserve">, although it has recovered roughly</w:t>
      </w:r>
      <w:r>
        <w:t xml:space="preserve"> </w:t>
      </w:r>
      <w:r>
        <w:rPr>
          <w:b/>
          <w:bCs/>
        </w:rPr>
        <w:t xml:space="preserve">23% from its June low</w:t>
      </w:r>
      <w:r>
        <w:t xml:space="preserve">. That leaves expectations and valuation less demanding than they were entering prior reports.</w:t>
      </w:r>
    </w:p>
    <w:bookmarkEnd w:id="10"/>
    <w:bookmarkStart w:id="13" w:name="headline-expectations"/>
    <w:p>
      <w:pPr>
        <w:pStyle w:val="Heading2"/>
      </w:pPr>
      <w:r>
        <w:t xml:space="preserve">Headline expectations</w:t>
      </w:r>
    </w:p>
    <w:p>
      <w:pPr>
        <w:pStyle w:val="FirstParagraph"/>
      </w:pPr>
      <w:r>
        <w:t xml:space="preserve">Published consensus figures differ modestly by provider: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Street expectation</w:t>
            </w:r>
          </w:p>
        </w:tc>
        <w:tc>
          <w:tcPr/>
          <w:p>
            <w:pPr>
              <w:pStyle w:val="Compact"/>
              <w:jc w:val="right"/>
            </w:pPr>
            <w:r>
              <w:t xml:space="preserve">Q4 FY2025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t xml:space="preserve">Approximately</w:t>
            </w:r>
            <w:r>
              <w:t xml:space="preserve"> </w:t>
            </w:r>
            <m:oMath>
              <m:r>
                <m:t>1.46</m:t>
              </m:r>
              <m:r>
                <m:rPr>
                  <m:sty m:val="p"/>
                </m:rPr>
                <m:t>–</m:t>
              </m:r>
            </m:oMath>
            <w:r>
              <w:rPr>
                <w:b/>
                <w:bCs/>
              </w:rPr>
              <w:t xml:space="preserve">1.47B</w:t>
            </w:r>
          </w:p>
        </w:tc>
        <w:tc>
          <w:tcPr/>
          <w:p>
            <w:pPr>
              <w:pStyle w:val="Compact"/>
              <w:jc w:val="right"/>
            </w:pPr>
            <w:r>
              <w:t xml:space="preserve">$1.348B</w:t>
            </w:r>
          </w:p>
        </w:tc>
        <w:tc>
          <w:tcPr/>
          <w:p>
            <w:pPr>
              <w:pStyle w:val="Compact"/>
              <w:jc w:val="right"/>
            </w:pPr>
            <w:r>
              <w:t xml:space="preserve">Roughly</w:t>
            </w:r>
            <w:r>
              <w:t xml:space="preserve"> </w:t>
            </w:r>
            <w:r>
              <w:rPr>
                <w:b/>
                <w:bCs/>
              </w:rPr>
              <w:t xml:space="preserve">8%–9%</w:t>
            </w:r>
          </w:p>
        </w:tc>
      </w:tr>
      <w:tr>
        <w:tc>
          <w:tcPr/>
          <w:p>
            <w:pPr>
              <w:pStyle w:val="Compact"/>
            </w:pPr>
            <w:r>
              <w:t xml:space="preserve">Non-GAAP EPS</w:t>
            </w:r>
          </w:p>
        </w:tc>
        <w:tc>
          <w:tcPr/>
          <w:p>
            <w:pPr>
              <w:pStyle w:val="Compact"/>
              <w:jc w:val="right"/>
            </w:pPr>
            <w:r>
              <w:t xml:space="preserve">Approximately</w:t>
            </w:r>
            <w:r>
              <w:t xml:space="preserve"> </w:t>
            </w:r>
            <m:oMath>
              <m:r>
                <m:t>2.88</m:t>
              </m:r>
              <m:r>
                <m:rPr>
                  <m:sty m:val="p"/>
                </m:rPr>
                <m:t>–</m:t>
              </m:r>
            </m:oMath>
            <w:r>
              <w:rPr>
                <w:b/>
                <w:bCs/>
              </w:rPr>
              <w:t xml:space="preserve">2.92</w:t>
            </w:r>
          </w:p>
        </w:tc>
        <w:tc>
          <w:tcPr/>
          <w:p>
            <w:pPr>
              <w:pStyle w:val="Compact"/>
              <w:jc w:val="right"/>
            </w:pPr>
            <w:r>
              <w:t xml:space="preserve">$2.55</w:t>
            </w:r>
          </w:p>
        </w:tc>
        <w:tc>
          <w:tcPr/>
          <w:p>
            <w:pPr>
              <w:pStyle w:val="Compact"/>
              <w:jc w:val="right"/>
            </w:pPr>
            <w:r>
              <w:t xml:space="preserve">Roughly</w:t>
            </w:r>
            <w:r>
              <w:t xml:space="preserve"> </w:t>
            </w:r>
            <w:r>
              <w:rPr>
                <w:b/>
                <w:bCs/>
              </w:rPr>
              <w:t xml:space="preserve">13%–15%</w:t>
            </w:r>
          </w:p>
        </w:tc>
      </w:tr>
    </w:tbl>
    <w:p>
      <w:pPr>
        <w:pStyle w:val="BodyText"/>
      </w:pPr>
      <w:r>
        <w:t xml:space="preserve">Benzinga lists consensus at</w:t>
      </w:r>
      <w:r>
        <w:t xml:space="preserve"> </w:t>
      </w:r>
      <w:r>
        <w:rPr>
          <w:b/>
          <w:bCs/>
        </w:rPr>
        <w:t xml:space="preserve">$1.46 billion and</w:t>
      </w:r>
      <w:r>
        <w:rPr>
          <w:b/>
          <w:bCs/>
        </w:rPr>
        <w:t xml:space="preserve"> </w:t>
      </w:r>
      <m:oMath>
        <m:r>
          <m:t>2.88</m:t>
        </m:r>
        <m:r>
          <m:rPr>
            <m:sty m:val="p"/>
          </m:rPr>
          <m:t>*</m:t>
        </m:r>
        <m:r>
          <m:rPr>
            <m:sty m:val="p"/>
          </m:rPr>
          <m:t>*</m:t>
        </m:r>
        <m:r>
          <m:rPr>
            <m:sty m:val="p"/>
          </m:rPr>
          <m:t>,</m:t>
        </m:r>
        <m:r>
          <m:t>w</m:t>
        </m:r>
        <m:r>
          <m:t>h</m:t>
        </m:r>
        <m:r>
          <m:t>i</m:t>
        </m:r>
        <m:r>
          <m:t>l</m:t>
        </m:r>
        <m:r>
          <m:t>e</m:t>
        </m:r>
        <m:r>
          <m:t>a</m:t>
        </m:r>
        <m:r>
          <m:t>n</m:t>
        </m:r>
        <m:r>
          <m:t>o</m:t>
        </m:r>
        <m:r>
          <m:t>t</m:t>
        </m:r>
        <m:r>
          <m:t>h</m:t>
        </m:r>
        <m:r>
          <m:t>e</m:t>
        </m:r>
        <m:r>
          <m:t>r</m:t>
        </m:r>
        <m:r>
          <m:t>p</m:t>
        </m:r>
        <m:r>
          <m:t>u</m:t>
        </m:r>
        <m:r>
          <m:t>b</m:t>
        </m:r>
        <m:r>
          <m:t>l</m:t>
        </m:r>
        <m:r>
          <m:t>i</m:t>
        </m:r>
        <m:r>
          <m:t>s</m:t>
        </m:r>
        <m:r>
          <m:t>h</m:t>
        </m:r>
        <m:r>
          <m:t>e</m:t>
        </m:r>
        <m:r>
          <m:t>d</m:t>
        </m:r>
        <m:r>
          <m:t>a</m:t>
        </m:r>
        <m:r>
          <m:t>g</m:t>
        </m:r>
        <m:r>
          <m:t>g</m:t>
        </m:r>
        <m:r>
          <m:t>r</m:t>
        </m:r>
        <m:r>
          <m:t>e</m:t>
        </m:r>
        <m:r>
          <m:t>g</m:t>
        </m:r>
        <m:r>
          <m:t>a</m:t>
        </m:r>
        <m:r>
          <m:t>t</m:t>
        </m:r>
        <m:r>
          <m:t>i</m:t>
        </m:r>
        <m:r>
          <m:t>o</m:t>
        </m:r>
        <m:r>
          <m:t>n</m:t>
        </m:r>
        <m:r>
          <m:t>h</m:t>
        </m:r>
        <m:r>
          <m:t>a</m:t>
        </m:r>
        <m:r>
          <m:t>s</m:t>
        </m:r>
        <m:r>
          <m:rPr>
            <m:sty m:val="p"/>
          </m:rPr>
          <m:t>*</m:t>
        </m:r>
        <m:r>
          <m:rPr>
            <m:sty m:val="p"/>
          </m:rPr>
          <m:t>*</m:t>
        </m:r>
      </m:oMath>
      <w:r>
        <w:rPr>
          <w:b/>
          <w:bCs/>
        </w:rPr>
        <w:t xml:space="preserve">1.47 billion and $2.92</w:t>
      </w:r>
      <w:r>
        <w:t xml:space="preserve">. (</w:t>
      </w:r>
      <w:hyperlink r:id="rId11">
        <w:r>
          <w:rPr>
            <w:rStyle w:val="Hyperlink"/>
          </w:rPr>
          <w:t xml:space="preserve">benzinga.com</w:t>
        </w:r>
      </w:hyperlink>
      <w:r>
        <w:t xml:space="preserve">)</w:t>
      </w:r>
    </w:p>
    <w:p>
      <w:pPr>
        <w:pStyle w:val="BodyText"/>
      </w:pPr>
      <w:r>
        <w:t xml:space="preserve">At those estimates, full-year fiscal 2026 results would be approximately:</w:t>
      </w:r>
    </w:p>
    <w:p>
      <w:pPr>
        <w:pStyle w:val="Compact"/>
        <w:numPr>
          <w:ilvl w:val="0"/>
          <w:numId w:val="1002"/>
        </w:numPr>
      </w:pPr>
      <w:r>
        <w:rPr>
          <w:b/>
          <w:bCs/>
        </w:rPr>
        <w:t xml:space="preserve">Revenue:</w:t>
      </w:r>
      <w:r>
        <w:t xml:space="preserve"> </w:t>
      </w:r>
      <w:r>
        <w:t xml:space="preserve">$5.65 billion, up around 10%</w:t>
      </w:r>
    </w:p>
    <w:p>
      <w:pPr>
        <w:pStyle w:val="Compact"/>
        <w:numPr>
          <w:ilvl w:val="0"/>
          <w:numId w:val="1002"/>
        </w:numPr>
      </w:pPr>
      <w:r>
        <w:rPr>
          <w:b/>
          <w:bCs/>
        </w:rPr>
        <w:t xml:space="preserve">Non-GAAP EPS:</w:t>
      </w:r>
      <w:r>
        <w:t xml:space="preserve"> </w:t>
      </w:r>
      <w:r>
        <w:t xml:space="preserve">$11.10, up around 16%</w:t>
      </w:r>
    </w:p>
    <w:p>
      <w:pPr>
        <w:pStyle w:val="FirstParagraph"/>
      </w:pPr>
      <w:r>
        <w:t xml:space="preserve">The company most recently reiterated the following fiscal 2026 targets:</w:t>
      </w:r>
    </w:p>
    <w:p>
      <w:pPr>
        <w:pStyle w:val="Compact"/>
        <w:numPr>
          <w:ilvl w:val="0"/>
          <w:numId w:val="1003"/>
        </w:numPr>
      </w:pPr>
      <w:r>
        <w:t xml:space="preserve">Non-GAAP gross margin:</w:t>
      </w:r>
      <w:r>
        <w:t xml:space="preserve"> </w:t>
      </w:r>
      <w:r>
        <w:rPr>
          <w:b/>
          <w:bCs/>
        </w:rPr>
        <w:t xml:space="preserve">62%–63%</w:t>
      </w:r>
    </w:p>
    <w:p>
      <w:pPr>
        <w:pStyle w:val="Compact"/>
        <w:numPr>
          <w:ilvl w:val="0"/>
          <w:numId w:val="1003"/>
        </w:numPr>
      </w:pPr>
      <w:r>
        <w:t xml:space="preserve">SG&amp;A:</w:t>
      </w:r>
      <w:r>
        <w:t xml:space="preserve"> </w:t>
      </w:r>
      <w:r>
        <w:rPr>
          <w:b/>
          <w:bCs/>
        </w:rPr>
        <w:t xml:space="preserve">19%–20% of revenue</w:t>
      </w:r>
    </w:p>
    <w:p>
      <w:pPr>
        <w:pStyle w:val="Compact"/>
        <w:numPr>
          <w:ilvl w:val="0"/>
          <w:numId w:val="1003"/>
        </w:numPr>
      </w:pPr>
      <w:r>
        <w:t xml:space="preserve">R&amp;D:</w:t>
      </w:r>
      <w:r>
        <w:t xml:space="preserve"> </w:t>
      </w:r>
      <w:r>
        <w:rPr>
          <w:b/>
          <w:bCs/>
        </w:rPr>
        <w:t xml:space="preserve">6%–7% of revenue</w:t>
      </w:r>
    </w:p>
    <w:p>
      <w:pPr>
        <w:pStyle w:val="Compact"/>
        <w:numPr>
          <w:ilvl w:val="0"/>
          <w:numId w:val="1003"/>
        </w:numPr>
      </w:pPr>
      <w:r>
        <w:t xml:space="preserve">Non-GAAP tax rate:</w:t>
      </w:r>
      <w:r>
        <w:t xml:space="preserve"> </w:t>
      </w:r>
      <w:r>
        <w:rPr>
          <w:b/>
          <w:bCs/>
        </w:rPr>
        <w:t xml:space="preserve">21%–23%</w:t>
      </w:r>
    </w:p>
    <w:p>
      <w:pPr>
        <w:pStyle w:val="Compact"/>
        <w:numPr>
          <w:ilvl w:val="0"/>
          <w:numId w:val="1003"/>
        </w:numPr>
      </w:pPr>
      <w:r>
        <w:t xml:space="preserve">Q4 net interest income: approximately</w:t>
      </w:r>
      <w:r>
        <w:t xml:space="preserve"> </w:t>
      </w:r>
      <w:r>
        <w:rPr>
          <w:b/>
          <w:bCs/>
        </w:rPr>
        <w:t xml:space="preserve">$15 million</w:t>
      </w:r>
    </w:p>
    <w:p>
      <w:pPr>
        <w:pStyle w:val="Compact"/>
        <w:numPr>
          <w:ilvl w:val="0"/>
          <w:numId w:val="1003"/>
        </w:numPr>
      </w:pPr>
      <w:r>
        <w:t xml:space="preserve">Q4 repurchases: at least</w:t>
      </w:r>
      <w:r>
        <w:t xml:space="preserve"> </w:t>
      </w:r>
      <w:r>
        <w:rPr>
          <w:b/>
          <w:bCs/>
        </w:rPr>
        <w:t xml:space="preserve">$175 million</w:t>
      </w:r>
      <w:r>
        <w:t xml:space="preserve"> </w:t>
      </w:r>
      <w:r>
        <w:t xml:space="preserve">(</w:t>
      </w:r>
      <w:hyperlink r:id="rId12">
        <w:r>
          <w:rPr>
            <w:rStyle w:val="Hyperlink"/>
          </w:rPr>
          <w:t xml:space="preserve">earnings-documents-prod.s3.amazonaws.com</w:t>
        </w:r>
      </w:hyperlink>
      <w:r>
        <w:t xml:space="preserve">)</w:t>
      </w:r>
    </w:p>
    <w:bookmarkEnd w:id="13"/>
    <w:bookmarkStart w:id="25" w:name="what-investors-should-watch"/>
    <w:p>
      <w:pPr>
        <w:pStyle w:val="Heading2"/>
      </w:pPr>
      <w:r>
        <w:t xml:space="preserve">What investors should watch</w:t>
      </w:r>
    </w:p>
    <w:bookmarkStart w:id="15" w:name="X62d8e218e1340ccbf1059e13074ec6d960690e2"/>
    <w:p>
      <w:pPr>
        <w:pStyle w:val="Heading3"/>
      </w:pPr>
      <w:r>
        <w:t xml:space="preserve">1. Mask growth remains the cleanest measure of underlying strength</w:t>
      </w:r>
    </w:p>
    <w:p>
      <w:pPr>
        <w:pStyle w:val="FirstParagraph"/>
      </w:pPr>
      <w:r>
        <w:t xml:space="preserve">Fiscal Q3 was led by masks and accessories:</w:t>
      </w:r>
    </w:p>
    <w:p>
      <w:pPr>
        <w:pStyle w:val="Compact"/>
        <w:numPr>
          <w:ilvl w:val="0"/>
          <w:numId w:val="1004"/>
        </w:numPr>
      </w:pPr>
      <w:r>
        <w:t xml:space="preserve">Global device revenue grew</w:t>
      </w:r>
      <w:r>
        <w:t xml:space="preserve"> </w:t>
      </w:r>
      <w:r>
        <w:rPr>
          <w:b/>
          <w:bCs/>
        </w:rPr>
        <w:t xml:space="preserve">6% in constant currency</w:t>
      </w:r>
    </w:p>
    <w:p>
      <w:pPr>
        <w:pStyle w:val="Compact"/>
        <w:numPr>
          <w:ilvl w:val="0"/>
          <w:numId w:val="1004"/>
        </w:numPr>
      </w:pPr>
      <w:r>
        <w:t xml:space="preserve">Global masks and other revenue grew</w:t>
      </w:r>
      <w:r>
        <w:t xml:space="preserve"> </w:t>
      </w:r>
      <w:r>
        <w:rPr>
          <w:b/>
          <w:bCs/>
        </w:rPr>
        <w:t xml:space="preserve">12%</w:t>
      </w:r>
    </w:p>
    <w:p>
      <w:pPr>
        <w:pStyle w:val="Compact"/>
        <w:numPr>
          <w:ilvl w:val="0"/>
          <w:numId w:val="1004"/>
        </w:numPr>
      </w:pPr>
      <w:r>
        <w:t xml:space="preserve">Americas masks and other revenue grew</w:t>
      </w:r>
      <w:r>
        <w:t xml:space="preserve"> </w:t>
      </w:r>
      <w:r>
        <w:rPr>
          <w:b/>
          <w:bCs/>
        </w:rPr>
        <w:t xml:space="preserve">14%</w:t>
      </w:r>
    </w:p>
    <w:p>
      <w:pPr>
        <w:pStyle w:val="Compact"/>
        <w:numPr>
          <w:ilvl w:val="0"/>
          <w:numId w:val="1004"/>
        </w:numPr>
      </w:pPr>
      <w:r>
        <w:t xml:space="preserve">Total Sleep and Breathing Health revenue grew</w:t>
      </w:r>
      <w:r>
        <w:t xml:space="preserve"> </w:t>
      </w:r>
      <w:r>
        <w:rPr>
          <w:b/>
          <w:bCs/>
        </w:rPr>
        <w:t xml:space="preserve">8% in constant currency</w:t>
      </w:r>
    </w:p>
    <w:p>
      <w:pPr>
        <w:pStyle w:val="FirstParagraph"/>
      </w:pPr>
      <w:r>
        <w:t xml:space="preserve">Overall Q3 revenue was $1.43 billion, up 11% reported and 8% in constant currency, while non-GAAP EPS increased 21% to $2.86. (</w:t>
      </w:r>
      <w:hyperlink r:id="rId14">
        <w:r>
          <w:rPr>
            <w:rStyle w:val="Hyperlink"/>
          </w:rPr>
          <w:t xml:space="preserve">investor.resmed.com</w:t>
        </w:r>
      </w:hyperlink>
      <w:r>
        <w:t xml:space="preserve">)</w:t>
      </w:r>
    </w:p>
    <w:p>
      <w:pPr>
        <w:pStyle w:val="BodyText"/>
      </w:pPr>
      <w:r>
        <w:t xml:space="preserve">Masks are strategically important because they provide recurring revenue and tend to carry favorable economics. Another quarter of low-double-digit mask growth would support management’s claim that new fabric-based AirTouch masks are driving adoption and share gains rather than merely shifting sales between ResMed products.</w:t>
      </w:r>
    </w:p>
    <w:p>
      <w:pPr>
        <w:pStyle w:val="BodyText"/>
      </w:pPr>
      <w:r>
        <w:t xml:space="preserve">The questions to ask are:</w:t>
      </w:r>
    </w:p>
    <w:p>
      <w:pPr>
        <w:pStyle w:val="Compact"/>
        <w:numPr>
          <w:ilvl w:val="0"/>
          <w:numId w:val="1005"/>
        </w:numPr>
      </w:pPr>
      <w:r>
        <w:t xml:space="preserve">Does global mask growth remain around 10% or better?</w:t>
      </w:r>
    </w:p>
    <w:p>
      <w:pPr>
        <w:pStyle w:val="Compact"/>
        <w:numPr>
          <w:ilvl w:val="0"/>
          <w:numId w:val="1005"/>
        </w:numPr>
      </w:pPr>
      <w:r>
        <w:t xml:space="preserve">Are the AirTouch N30i and F30i launches expanding the market or cannibalizing existing masks?</w:t>
      </w:r>
    </w:p>
    <w:p>
      <w:pPr>
        <w:pStyle w:val="Compact"/>
        <w:numPr>
          <w:ilvl w:val="0"/>
          <w:numId w:val="1005"/>
        </w:numPr>
      </w:pPr>
      <w:r>
        <w:t xml:space="preserve">Are premium fabric-mask prices creating resistance among U.S. home-medical-equipment providers?</w:t>
      </w:r>
    </w:p>
    <w:p>
      <w:pPr>
        <w:pStyle w:val="Compact"/>
        <w:numPr>
          <w:ilvl w:val="0"/>
          <w:numId w:val="1005"/>
        </w:numPr>
      </w:pPr>
      <w:r>
        <w:t xml:space="preserve">Is resupply growth keeping pace with new-patient setups?</w:t>
      </w:r>
    </w:p>
    <w:p>
      <w:pPr>
        <w:pStyle w:val="FirstParagraph"/>
      </w:pPr>
      <w:r>
        <w:t xml:space="preserve">A result driven mainly by masks would likely be viewed more favorably than one reliant on acquisition revenue or currency.</w:t>
      </w:r>
    </w:p>
    <w:bookmarkEnd w:id="15"/>
    <w:bookmarkStart w:id="16" w:name="X5c2c38511bf1030c65a866ea7f6f6fa8d8fba65"/>
    <w:p>
      <w:pPr>
        <w:pStyle w:val="Heading3"/>
      </w:pPr>
      <w:r>
        <w:t xml:space="preserve">2. Device growth will test the competitive and demand environment</w:t>
      </w:r>
    </w:p>
    <w:p>
      <w:pPr>
        <w:pStyle w:val="FirstParagraph"/>
      </w:pPr>
      <w:r>
        <w:t xml:space="preserve">Device growth was a solid 6% in Q3, but this is where investors will look for evidence of:</w:t>
      </w:r>
    </w:p>
    <w:p>
      <w:pPr>
        <w:pStyle w:val="Compact"/>
        <w:numPr>
          <w:ilvl w:val="0"/>
          <w:numId w:val="1006"/>
        </w:numPr>
      </w:pPr>
      <w:r>
        <w:t xml:space="preserve">Philips Respironics’ re-entry into the market</w:t>
      </w:r>
    </w:p>
    <w:p>
      <w:pPr>
        <w:pStyle w:val="Compact"/>
        <w:numPr>
          <w:ilvl w:val="0"/>
          <w:numId w:val="1006"/>
        </w:numPr>
      </w:pPr>
      <w:r>
        <w:t xml:space="preserve">Competitive pressure from Fisher &amp; Paykel Healthcare</w:t>
      </w:r>
    </w:p>
    <w:p>
      <w:pPr>
        <w:pStyle w:val="Compact"/>
        <w:numPr>
          <w:ilvl w:val="0"/>
          <w:numId w:val="1006"/>
        </w:numPr>
      </w:pPr>
      <w:r>
        <w:t xml:space="preserve">Sustained new-patient demand after the post-recall share-gain period</w:t>
      </w:r>
    </w:p>
    <w:p>
      <w:pPr>
        <w:pStyle w:val="Compact"/>
        <w:numPr>
          <w:ilvl w:val="0"/>
          <w:numId w:val="1006"/>
        </w:numPr>
      </w:pPr>
      <w:r>
        <w:t xml:space="preserve">Benefits from AirSense 11 geographic expansion</w:t>
      </w:r>
    </w:p>
    <w:p>
      <w:pPr>
        <w:pStyle w:val="Compact"/>
        <w:numPr>
          <w:ilvl w:val="0"/>
          <w:numId w:val="1006"/>
        </w:numPr>
      </w:pPr>
      <w:r>
        <w:t xml:space="preserve">Early adoption of newer AirCurve 11 bilevel products</w:t>
      </w:r>
    </w:p>
    <w:p>
      <w:pPr>
        <w:pStyle w:val="FirstParagraph"/>
      </w:pPr>
      <w:r>
        <w:t xml:space="preserve">Mid-single-digit device growth is probably sufficient. A slowdown toward low single digits, especially in the Americas, would revive concerns that ResMed’s elevated market share is normalizing faster than expected.</w:t>
      </w:r>
    </w:p>
    <w:p>
      <w:pPr>
        <w:pStyle w:val="BodyText"/>
      </w:pPr>
      <w:r>
        <w:t xml:space="preserve">Conversely, another 5%–7% result would suggest that demand generation, replacement programs and broader sleep-apnea awareness are offsetting increased competition.</w:t>
      </w:r>
    </w:p>
    <w:bookmarkEnd w:id="16"/>
    <w:bookmarkStart w:id="18" w:name="X1c9f1c72458bf91bb7de8a3e1c802a020d46bfa"/>
    <w:p>
      <w:pPr>
        <w:pStyle w:val="Heading3"/>
      </w:pPr>
      <w:r>
        <w:t xml:space="preserve">3. Gross margin is the key earnings lever—and increasingly the key debate</w:t>
      </w:r>
    </w:p>
    <w:p>
      <w:pPr>
        <w:pStyle w:val="FirstParagraph"/>
      </w:pPr>
      <w:r>
        <w:t xml:space="preserve">Non-GAAP gross margin reached</w:t>
      </w:r>
      <w:r>
        <w:t xml:space="preserve"> </w:t>
      </w:r>
      <w:r>
        <w:rPr>
          <w:b/>
          <w:bCs/>
        </w:rPr>
        <w:t xml:space="preserve">62.8% in Q3</w:t>
      </w:r>
      <w:r>
        <w:t xml:space="preserve">, up 290 basis points year over year and 50 basis points sequentially. The gains came from lower component costs plus manufacturing and logistics efficiencies. (</w:t>
      </w:r>
      <w:hyperlink r:id="rId14">
        <w:r>
          <w:rPr>
            <w:rStyle w:val="Hyperlink"/>
          </w:rPr>
          <w:t xml:space="preserve">investor.resmed.com</w:t>
        </w:r>
      </w:hyperlink>
      <w:r>
        <w:t xml:space="preserve">)</w:t>
      </w:r>
    </w:p>
    <w:p>
      <w:pPr>
        <w:pStyle w:val="BodyText"/>
      </w:pPr>
      <w:r>
        <w:t xml:space="preserve">That improvement has driven earnings growth well above revenue growth, but the comparisons are becoming harder. Management has acknowledged emerging component inflation, fuel costs and broader geopolitical uncertainty. Morgan Stanley’s June downgrade specifically cited limits to near-term margin expansion and more modest earnings growth expectations. (</w:t>
      </w:r>
      <w:hyperlink r:id="rId17">
        <w:r>
          <w:rPr>
            <w:rStyle w:val="Hyperlink"/>
          </w:rPr>
          <w:t xml:space="preserve">finance.yahoo.com</w:t>
        </w:r>
      </w:hyperlink>
      <w:r>
        <w:t xml:space="preserve">)</w:t>
      </w:r>
    </w:p>
    <w:p>
      <w:pPr>
        <w:pStyle w:val="BodyText"/>
      </w:pPr>
      <w:r>
        <w:t xml:space="preserve">For Q4, the important threshold is likely around</w:t>
      </w:r>
      <w:r>
        <w:t xml:space="preserve"> </w:t>
      </w:r>
      <w:r>
        <w:rPr>
          <w:b/>
          <w:bCs/>
        </w:rPr>
        <w:t xml:space="preserve">62.5%–63% non-GAAP gross margin</w:t>
      </w:r>
      <w:r>
        <w:t xml:space="preserve">:</w:t>
      </w:r>
    </w:p>
    <w:p>
      <w:pPr>
        <w:pStyle w:val="Compact"/>
        <w:numPr>
          <w:ilvl w:val="0"/>
          <w:numId w:val="1007"/>
        </w:numPr>
      </w:pPr>
      <w:r>
        <w:rPr>
          <w:b/>
          <w:bCs/>
        </w:rPr>
        <w:t xml:space="preserve">Above 63%:</w:t>
      </w:r>
      <w:r>
        <w:t xml:space="preserve"> </w:t>
      </w:r>
      <w:r>
        <w:t xml:space="preserve">evidence that productivity initiatives continue to offset inflation.</w:t>
      </w:r>
    </w:p>
    <w:p>
      <w:pPr>
        <w:pStyle w:val="Compact"/>
        <w:numPr>
          <w:ilvl w:val="0"/>
          <w:numId w:val="1007"/>
        </w:numPr>
      </w:pPr>
      <w:r>
        <w:rPr>
          <w:b/>
          <w:bCs/>
        </w:rPr>
        <w:t xml:space="preserve">Around 62.5%–63%:</w:t>
      </w:r>
      <w:r>
        <w:t xml:space="preserve"> </w:t>
      </w:r>
      <w:r>
        <w:t xml:space="preserve">healthy, but unlikely to change the debate.</w:t>
      </w:r>
    </w:p>
    <w:p>
      <w:pPr>
        <w:pStyle w:val="Compact"/>
        <w:numPr>
          <w:ilvl w:val="0"/>
          <w:numId w:val="1007"/>
        </w:numPr>
      </w:pPr>
      <w:r>
        <w:rPr>
          <w:b/>
          <w:bCs/>
        </w:rPr>
        <w:t xml:space="preserve">Below 62.5%:</w:t>
      </w:r>
      <w:r>
        <w:t xml:space="preserve"> </w:t>
      </w:r>
      <w:r>
        <w:t xml:space="preserve">could indicate that the margin cycle is peaking earlier than expected.</w:t>
      </w:r>
    </w:p>
    <w:p>
      <w:pPr>
        <w:pStyle w:val="FirstParagraph"/>
      </w:pPr>
      <w:r>
        <w:t xml:space="preserve">More important than Q4 itself will be whether management still expects annual gross-margin improvement through 2030 and what fiscal 2027 guidance assumes.</w:t>
      </w:r>
    </w:p>
    <w:bookmarkEnd w:id="18"/>
    <w:bookmarkStart w:id="22" w:name="X540b69afb2de1e4af320cbf068addf46c073bff"/>
    <w:p>
      <w:pPr>
        <w:pStyle w:val="Heading3"/>
      </w:pPr>
      <w:r>
        <w:t xml:space="preserve">4. Fiscal 2027 guidance will require careful normalization</w:t>
      </w:r>
    </w:p>
    <w:bookmarkStart w:id="20" w:name="matrixcare-divestiture"/>
    <w:p>
      <w:pPr>
        <w:pStyle w:val="Heading4"/>
      </w:pPr>
      <w:r>
        <w:t xml:space="preserve">MatrixCare divestiture</w:t>
      </w:r>
    </w:p>
    <w:p>
      <w:pPr>
        <w:pStyle w:val="FirstParagraph"/>
      </w:pPr>
      <w:r>
        <w:t xml:space="preserve">ResMed agreed to sell MatrixCare for</w:t>
      </w:r>
      <w:r>
        <w:t xml:space="preserve"> </w:t>
      </w:r>
      <w:r>
        <w:rPr>
          <w:b/>
          <w:bCs/>
        </w:rPr>
        <w:t xml:space="preserve">$490 million in cash</w:t>
      </w:r>
      <w:r>
        <w:t xml:space="preserve">, with closing expected during fiscal Q1 2027. Management intends to use proceeds partly for an accelerated share-repurchase program. MatrixCare contributed approximately:</w:t>
      </w:r>
    </w:p>
    <w:p>
      <w:pPr>
        <w:pStyle w:val="Compact"/>
        <w:numPr>
          <w:ilvl w:val="0"/>
          <w:numId w:val="1008"/>
        </w:numPr>
      </w:pPr>
      <w:r>
        <w:rPr>
          <w:b/>
          <w:bCs/>
        </w:rPr>
        <w:t xml:space="preserve">$220 million of fiscal 2026 revenue</w:t>
      </w:r>
    </w:p>
    <w:p>
      <w:pPr>
        <w:pStyle w:val="Compact"/>
        <w:numPr>
          <w:ilvl w:val="0"/>
          <w:numId w:val="1008"/>
        </w:numPr>
      </w:pPr>
      <w:r>
        <w:rPr>
          <w:b/>
          <w:bCs/>
        </w:rPr>
        <w:t xml:space="preserve">$55 million of non-GAAP operating profit</w:t>
      </w:r>
    </w:p>
    <w:p>
      <w:pPr>
        <w:pStyle w:val="FirstParagraph"/>
      </w:pPr>
      <w:r>
        <w:t xml:space="preserve">Transition-service payments are expected largely to offset stranded costs during the first year after closing. Brightree and MEDIFOX DAN are not included in the sale. (</w:t>
      </w:r>
      <w:hyperlink r:id="rId19">
        <w:r>
          <w:rPr>
            <w:rStyle w:val="Hyperlink"/>
          </w:rPr>
          <w:t xml:space="preserve">investor.resmed.com</w:t>
        </w:r>
      </w:hyperlink>
      <w:r>
        <w:t xml:space="preserve">)</w:t>
      </w:r>
    </w:p>
    <w:p>
      <w:pPr>
        <w:pStyle w:val="BodyText"/>
      </w:pPr>
      <w:r>
        <w:t xml:space="preserve">The divestiture should improve ResMed’s strategic focus and underlying growth mix, but it creates several moving parts:</w:t>
      </w:r>
    </w:p>
    <w:p>
      <w:pPr>
        <w:pStyle w:val="Compact"/>
        <w:numPr>
          <w:ilvl w:val="0"/>
          <w:numId w:val="1009"/>
        </w:numPr>
      </w:pPr>
      <w:r>
        <w:t xml:space="preserve">Reported fiscal 2027 revenue will lose most of MatrixCare’s contribution.</w:t>
      </w:r>
    </w:p>
    <w:p>
      <w:pPr>
        <w:pStyle w:val="Compact"/>
        <w:numPr>
          <w:ilvl w:val="0"/>
          <w:numId w:val="1009"/>
        </w:numPr>
      </w:pPr>
      <w:r>
        <w:t xml:space="preserve">Approximately $55 million of operating profit must be replaced or offset.</w:t>
      </w:r>
    </w:p>
    <w:p>
      <w:pPr>
        <w:pStyle w:val="Compact"/>
        <w:numPr>
          <w:ilvl w:val="0"/>
          <w:numId w:val="1009"/>
        </w:numPr>
      </w:pPr>
      <w:r>
        <w:t xml:space="preserve">The timing and size of the accelerated repurchase will influence EPS.</w:t>
      </w:r>
    </w:p>
    <w:p>
      <w:pPr>
        <w:pStyle w:val="Compact"/>
        <w:numPr>
          <w:ilvl w:val="0"/>
          <w:numId w:val="1009"/>
        </w:numPr>
      </w:pPr>
      <w:r>
        <w:t xml:space="preserve">Remaining stranded costs could reduce near-term operating leverage.</w:t>
      </w:r>
    </w:p>
    <w:p>
      <w:pPr>
        <w:pStyle w:val="Compact"/>
        <w:numPr>
          <w:ilvl w:val="0"/>
          <w:numId w:val="1009"/>
        </w:numPr>
      </w:pPr>
      <w:r>
        <w:t xml:space="preserve">Continuing Residential Care Software results will no longer be directly comparable with historical segment results.</w:t>
      </w:r>
    </w:p>
    <w:p>
      <w:pPr>
        <w:pStyle w:val="FirstParagraph"/>
      </w:pPr>
      <w:r>
        <w:t xml:space="preserve">Investors should focus on</w:t>
      </w:r>
      <w:r>
        <w:t xml:space="preserve"> </w:t>
      </w:r>
      <w:r>
        <w:rPr>
          <w:b/>
          <w:bCs/>
        </w:rPr>
        <w:t xml:space="preserve">organic continuing-operations growth</w:t>
      </w:r>
      <w:r>
        <w:t xml:space="preserve">, not simply reported consolidated growth.</w:t>
      </w:r>
    </w:p>
    <w:bookmarkEnd w:id="20"/>
    <w:bookmarkStart w:id="21" w:name="noctrix-acquisition"/>
    <w:p>
      <w:pPr>
        <w:pStyle w:val="Heading4"/>
      </w:pPr>
      <w:r>
        <w:t xml:space="preserve">Noctrix acquisition</w:t>
      </w:r>
    </w:p>
    <w:p>
      <w:pPr>
        <w:pStyle w:val="FirstParagraph"/>
      </w:pPr>
      <w:r>
        <w:t xml:space="preserve">ResMed completed its $340 million acquisition of Noctrix, adding the Nidra therapy for restless legs syndrome. For fiscal 2027, management expects Noctrix to contribute approximately:</w:t>
      </w:r>
    </w:p>
    <w:p>
      <w:pPr>
        <w:pStyle w:val="Compact"/>
        <w:numPr>
          <w:ilvl w:val="0"/>
          <w:numId w:val="1010"/>
        </w:numPr>
      </w:pPr>
      <w:r>
        <w:rPr>
          <w:b/>
          <w:bCs/>
        </w:rPr>
        <w:t xml:space="preserve">$30 million of revenue</w:t>
      </w:r>
    </w:p>
    <w:p>
      <w:pPr>
        <w:pStyle w:val="Compact"/>
        <w:numPr>
          <w:ilvl w:val="0"/>
          <w:numId w:val="1010"/>
        </w:numPr>
      </w:pPr>
      <w:r>
        <w:rPr>
          <w:b/>
          <w:bCs/>
        </w:rPr>
        <w:t xml:space="preserve">A $0.20 reduction in non-GAAP EPS</w:t>
      </w:r>
      <w:r>
        <w:t xml:space="preserve"> </w:t>
      </w:r>
      <w:r>
        <w:t xml:space="preserve">(</w:t>
      </w:r>
      <w:hyperlink r:id="rId19">
        <w:r>
          <w:rPr>
            <w:rStyle w:val="Hyperlink"/>
          </w:rPr>
          <w:t xml:space="preserve">investor.resmed.com</w:t>
        </w:r>
      </w:hyperlink>
      <w:r>
        <w:t xml:space="preserve">)</w:t>
      </w:r>
    </w:p>
    <w:p>
      <w:pPr>
        <w:pStyle w:val="FirstParagraph"/>
      </w:pPr>
      <w:r>
        <w:t xml:space="preserve">Noctrix could become strategically meaningful, but fiscal 2027 is an investment year. A credible path toward reimbursement expansion, higher sales and eventual accretion would help investors look beyond the initial dilution.</w:t>
      </w:r>
    </w:p>
    <w:bookmarkEnd w:id="21"/>
    <w:bookmarkEnd w:id="22"/>
    <w:bookmarkStart w:id="23" w:name="X795bc3bae6783b691ba0c2ff54a31cd237d5807"/>
    <w:p>
      <w:pPr>
        <w:pStyle w:val="Heading3"/>
      </w:pPr>
      <w:r>
        <w:t xml:space="preserve">5. The GLP-1 debate is shifting from threat to measurable demand question</w:t>
      </w:r>
    </w:p>
    <w:p>
      <w:pPr>
        <w:pStyle w:val="FirstParagraph"/>
      </w:pPr>
      <w:r>
        <w:t xml:space="preserve">The bear case holds that weight-loss drugs will reduce the incidence and severity of obesity-related obstructive sleep apnea, shrinking demand for CPAP devices.</w:t>
      </w:r>
    </w:p>
    <w:p>
      <w:pPr>
        <w:pStyle w:val="BodyText"/>
      </w:pPr>
      <w:r>
        <w:t xml:space="preserve">ResMed’s counterargument is that sleep apnea has causes beyond weight and that GLP-1 treatment is increasing screening and diagnosis. Management says its claims and resupply analyses show that patients prescribed both PAP and GLP-1 therapy are more likely to begin PAP treatment and remain active in mask resupply.</w:t>
      </w:r>
    </w:p>
    <w:p>
      <w:pPr>
        <w:pStyle w:val="BodyText"/>
      </w:pPr>
      <w:r>
        <w:t xml:space="preserve">The report should be judged on operational evidence rather than another broad defense of the thesis:</w:t>
      </w:r>
    </w:p>
    <w:p>
      <w:pPr>
        <w:pStyle w:val="Compact"/>
        <w:numPr>
          <w:ilvl w:val="0"/>
          <w:numId w:val="1011"/>
        </w:numPr>
      </w:pPr>
      <w:r>
        <w:t xml:space="preserve">Are U.S. patient starts accelerating?</w:t>
      </w:r>
    </w:p>
    <w:p>
      <w:pPr>
        <w:pStyle w:val="Compact"/>
        <w:numPr>
          <w:ilvl w:val="0"/>
          <w:numId w:val="1011"/>
        </w:numPr>
      </w:pPr>
      <w:r>
        <w:t xml:space="preserve">Is VirtuOx home-testing volume converting into device setups?</w:t>
      </w:r>
    </w:p>
    <w:p>
      <w:pPr>
        <w:pStyle w:val="Compact"/>
        <w:numPr>
          <w:ilvl w:val="0"/>
          <w:numId w:val="1011"/>
        </w:numPr>
      </w:pPr>
      <w:r>
        <w:t xml:space="preserve">Is primary-care engagement producing measurable prescriptions?</w:t>
      </w:r>
    </w:p>
    <w:p>
      <w:pPr>
        <w:pStyle w:val="Compact"/>
        <w:numPr>
          <w:ilvl w:val="0"/>
          <w:numId w:val="1011"/>
        </w:numPr>
      </w:pPr>
      <w:r>
        <w:t xml:space="preserve">Is resupply behavior remaining strong among GLP-1 users?</w:t>
      </w:r>
    </w:p>
    <w:p>
      <w:pPr>
        <w:pStyle w:val="Compact"/>
        <w:numPr>
          <w:ilvl w:val="0"/>
          <w:numId w:val="1011"/>
        </w:numPr>
      </w:pPr>
      <w:r>
        <w:t xml:space="preserve">Does management see oral GLP-1 availability as an incremental fiscal 2027 tailwind?</w:t>
      </w:r>
    </w:p>
    <w:p>
      <w:pPr>
        <w:pStyle w:val="FirstParagraph"/>
      </w:pPr>
      <w:r>
        <w:t xml:space="preserve">Continued 5%–7% device growth and double-digit mask growth would be more persuasive than additional retrospective datasets alone.</w:t>
      </w:r>
    </w:p>
    <w:bookmarkEnd w:id="23"/>
    <w:bookmarkStart w:id="24" w:name="X248d08659d4703f7b1b4fcc4798d5ddb55327b2"/>
    <w:p>
      <w:pPr>
        <w:pStyle w:val="Heading3"/>
      </w:pPr>
      <w:r>
        <w:t xml:space="preserve">6. Capital allocation should provide material EPS support</w:t>
      </w:r>
    </w:p>
    <w:p>
      <w:pPr>
        <w:pStyle w:val="FirstParagraph"/>
      </w:pPr>
      <w:r>
        <w:t xml:space="preserve">At the end of March, ResMed had approximately</w:t>
      </w:r>
      <w:r>
        <w:t xml:space="preserve"> </w:t>
      </w:r>
      <w:r>
        <w:rPr>
          <w:b/>
          <w:bCs/>
        </w:rPr>
        <w:t xml:space="preserve">$1.7 billion of cash</w:t>
      </w:r>
      <w:r>
        <w:t xml:space="preserve">,</w:t>
      </w:r>
      <w:r>
        <w:t xml:space="preserve"> </w:t>
      </w:r>
      <m:oMath>
        <m:r>
          <m:t>664</m:t>
        </m:r>
        <m:r>
          <m:t>m</m:t>
        </m:r>
        <m:r>
          <m:t>i</m:t>
        </m:r>
        <m:r>
          <m:t>l</m:t>
        </m:r>
        <m:r>
          <m:t>l</m:t>
        </m:r>
        <m:r>
          <m:t>i</m:t>
        </m:r>
        <m:r>
          <m:t>o</m:t>
        </m:r>
        <m:r>
          <m:t>n</m:t>
        </m:r>
        <m:r>
          <m:t>o</m:t>
        </m:r>
        <m:r>
          <m:t>f</m:t>
        </m:r>
        <m:r>
          <m:t>g</m:t>
        </m:r>
        <m:r>
          <m:t>r</m:t>
        </m:r>
        <m:r>
          <m:t>o</m:t>
        </m:r>
        <m:r>
          <m:t>s</m:t>
        </m:r>
        <m:r>
          <m:t>s</m:t>
        </m:r>
        <m:r>
          <m:t>d</m:t>
        </m:r>
        <m:r>
          <m:t>e</m:t>
        </m:r>
        <m:r>
          <m:t>b</m:t>
        </m:r>
        <m:r>
          <m:t>t</m:t>
        </m:r>
        <m:r>
          <m:t>a</m:t>
        </m:r>
        <m:r>
          <m:t>n</m:t>
        </m:r>
        <m:r>
          <m:t>d</m:t>
        </m:r>
        <m:r>
          <m:t>n</m:t>
        </m:r>
        <m:r>
          <m:t>e</m:t>
        </m:r>
        <m:r>
          <m:t>a</m:t>
        </m:r>
        <m:r>
          <m:t>r</m:t>
        </m:r>
        <m:r>
          <m:t>l</m:t>
        </m:r>
        <m:r>
          <m:t>y</m:t>
        </m:r>
        <m:r>
          <m:rPr>
            <m:sty m:val="p"/>
          </m:rPr>
          <m:t>*</m:t>
        </m:r>
        <m:r>
          <m:rPr>
            <m:sty m:val="p"/>
          </m:rPr>
          <m:t>*</m:t>
        </m:r>
      </m:oMath>
      <w:r>
        <w:t xml:space="preserve">1.0 billion of net cash**. Q3 free cash flow was approximately $520 million, and the company returned $262 million through dividends and repurchases.</w:t>
      </w:r>
    </w:p>
    <w:p>
      <w:pPr>
        <w:pStyle w:val="BodyText"/>
      </w:pPr>
      <w:r>
        <w:t xml:space="preserve">Management subsequently indicated that fiscal Q4 repurchases had exceeded $200 million and that fiscal 2027 repurchases could exceed $800 million. The MatrixCare proceeds create additional capacity.</w:t>
      </w:r>
    </w:p>
    <w:p>
      <w:pPr>
        <w:pStyle w:val="BodyText"/>
      </w:pPr>
      <w:r>
        <w:t xml:space="preserve">Investors should listen for:</w:t>
      </w:r>
    </w:p>
    <w:p>
      <w:pPr>
        <w:pStyle w:val="Compact"/>
        <w:numPr>
          <w:ilvl w:val="0"/>
          <w:numId w:val="1012"/>
        </w:numPr>
      </w:pPr>
      <w:r>
        <w:t xml:space="preserve">Size and timing of the accelerated repurchase</w:t>
      </w:r>
    </w:p>
    <w:p>
      <w:pPr>
        <w:pStyle w:val="Compact"/>
        <w:numPr>
          <w:ilvl w:val="0"/>
          <w:numId w:val="1012"/>
        </w:numPr>
      </w:pPr>
      <w:r>
        <w:t xml:space="preserve">Total fiscal 2027 buyback plans</w:t>
      </w:r>
    </w:p>
    <w:p>
      <w:pPr>
        <w:pStyle w:val="Compact"/>
        <w:numPr>
          <w:ilvl w:val="0"/>
          <w:numId w:val="1012"/>
        </w:numPr>
      </w:pPr>
      <w:r>
        <w:t xml:space="preserve">Whether Noctrix or another acquisition changes capital priorities</w:t>
      </w:r>
    </w:p>
    <w:p>
      <w:pPr>
        <w:pStyle w:val="Compact"/>
        <w:numPr>
          <w:ilvl w:val="0"/>
          <w:numId w:val="1012"/>
        </w:numPr>
      </w:pPr>
      <w:r>
        <w:t xml:space="preserve">Dividend growth</w:t>
      </w:r>
    </w:p>
    <w:p>
      <w:pPr>
        <w:pStyle w:val="Compact"/>
        <w:numPr>
          <w:ilvl w:val="0"/>
          <w:numId w:val="1012"/>
        </w:numPr>
      </w:pPr>
      <w:r>
        <w:t xml:space="preserve">The expected fiscal 2027 diluted share count</w:t>
      </w:r>
    </w:p>
    <w:p>
      <w:pPr>
        <w:pStyle w:val="FirstParagraph"/>
      </w:pPr>
      <w:r>
        <w:t xml:space="preserve">At roughly $224, repurchases are more accretive than they would have been when the shares traded near $280 a year ago.</w:t>
      </w:r>
    </w:p>
    <w:bookmarkEnd w:id="24"/>
    <w:bookmarkEnd w:id="25"/>
    <w:bookmarkStart w:id="30" w:name="risks-that-could-matter-on-the-call"/>
    <w:p>
      <w:pPr>
        <w:pStyle w:val="Heading2"/>
      </w:pPr>
      <w:r>
        <w:t xml:space="preserve">Risks that could matter on the call</w:t>
      </w:r>
    </w:p>
    <w:bookmarkStart w:id="26" w:name="competition"/>
    <w:p>
      <w:pPr>
        <w:pStyle w:val="Heading3"/>
      </w:pPr>
      <w:r>
        <w:t xml:space="preserve">Competition</w:t>
      </w:r>
    </w:p>
    <w:p>
      <w:pPr>
        <w:pStyle w:val="FirstParagraph"/>
      </w:pPr>
      <w:r>
        <w:t xml:space="preserve">Management has said recent competitive launches have not materially affected market share, but investors will want quantitative reassurance. Philips’ return and Fisher &amp; Paykel’s product development remain the most obvious long-term risks.</w:t>
      </w:r>
    </w:p>
    <w:bookmarkEnd w:id="26"/>
    <w:bookmarkStart w:id="27" w:name="hme-economics-and-reimbursement"/>
    <w:p>
      <w:pPr>
        <w:pStyle w:val="Heading3"/>
      </w:pPr>
      <w:r>
        <w:t xml:space="preserve">HME economics and reimbursement</w:t>
      </w:r>
    </w:p>
    <w:p>
      <w:pPr>
        <w:pStyle w:val="FirstParagraph"/>
      </w:pPr>
      <w:r>
        <w:t xml:space="preserve">Premium fabric masks may improve comfort and adherence, but higher acquisition costs can pressure provider economics under fixed reimbursement. Any indication that customers are limiting adoption because of profitability would weaken the product-mix thesis.</w:t>
      </w:r>
    </w:p>
    <w:p>
      <w:pPr>
        <w:pStyle w:val="BodyText"/>
      </w:pPr>
      <w:r>
        <w:t xml:space="preserve">Investors should also monitor payer utilization-management models that could alter the route through which U.S. patients obtain equipment and resupplies.</w:t>
      </w:r>
    </w:p>
    <w:bookmarkEnd w:id="27"/>
    <w:bookmarkStart w:id="28" w:name="cost-inflation-and-tariffs"/>
    <w:p>
      <w:pPr>
        <w:pStyle w:val="Heading3"/>
      </w:pPr>
      <w:r>
        <w:t xml:space="preserve">Cost inflation and tariffs</w:t>
      </w:r>
    </w:p>
    <w:p>
      <w:pPr>
        <w:pStyle w:val="FirstParagraph"/>
      </w:pPr>
      <w:r>
        <w:t xml:space="preserve">ResMed’s supply chain has become materially more efficient, but component inflation, tariffs and fuel or freight costs could limit further gross-margin expansion. The risk is less an immediate margin collapse than a transition from large annual gains to only modest improvement.</w:t>
      </w:r>
    </w:p>
    <w:bookmarkEnd w:id="28"/>
    <w:bookmarkStart w:id="29" w:name="management-transition"/>
    <w:p>
      <w:pPr>
        <w:pStyle w:val="Heading3"/>
      </w:pPr>
      <w:r>
        <w:t xml:space="preserve">Management transition</w:t>
      </w:r>
    </w:p>
    <w:p>
      <w:pPr>
        <w:pStyle w:val="FirstParagraph"/>
      </w:pPr>
      <w:r>
        <w:t xml:space="preserve">Aaron Bloomer became CFO following Brett Sandercock’s retirement. This will be Bloomer’s first fiscal year-end call as CFO, making the quality and clarity of the fiscal 2027 outlook especially important.</w:t>
      </w:r>
    </w:p>
    <w:bookmarkEnd w:id="29"/>
    <w:bookmarkEnd w:id="30"/>
    <w:bookmarkStart w:id="34" w:name="scenario-framework"/>
    <w:p>
      <w:pPr>
        <w:pStyle w:val="Heading2"/>
      </w:pPr>
      <w:r>
        <w:t xml:space="preserve">Scenario framework</w:t>
      </w:r>
    </w:p>
    <w:bookmarkStart w:id="31" w:name="bull-case"/>
    <w:p>
      <w:pPr>
        <w:pStyle w:val="Heading3"/>
      </w:pPr>
      <w:r>
        <w:t xml:space="preserve">Bull case</w:t>
      </w:r>
    </w:p>
    <w:p>
      <w:pPr>
        <w:pStyle w:val="Compact"/>
        <w:numPr>
          <w:ilvl w:val="0"/>
          <w:numId w:val="1013"/>
        </w:numPr>
      </w:pPr>
      <w:r>
        <w:t xml:space="preserve">Revenue above</w:t>
      </w:r>
      <w:r>
        <w:t xml:space="preserve"> </w:t>
      </w:r>
      <w:r>
        <w:rPr>
          <w:b/>
          <w:bCs/>
        </w:rPr>
        <w:t xml:space="preserve">$1.48 billion</w:t>
      </w:r>
    </w:p>
    <w:p>
      <w:pPr>
        <w:pStyle w:val="Compact"/>
        <w:numPr>
          <w:ilvl w:val="0"/>
          <w:numId w:val="1013"/>
        </w:numPr>
      </w:pPr>
      <w:r>
        <w:t xml:space="preserve">Non-GAAP EPS of</w:t>
      </w:r>
      <w:r>
        <w:t xml:space="preserve"> </w:t>
      </w:r>
      <w:r>
        <w:rPr>
          <w:b/>
          <w:bCs/>
        </w:rPr>
        <w:t xml:space="preserve">$2.95 or better</w:t>
      </w:r>
    </w:p>
    <w:p>
      <w:pPr>
        <w:pStyle w:val="Compact"/>
        <w:numPr>
          <w:ilvl w:val="0"/>
          <w:numId w:val="1013"/>
        </w:numPr>
      </w:pPr>
      <w:r>
        <w:t xml:space="preserve">Device growth of at least mid-single digits</w:t>
      </w:r>
    </w:p>
    <w:p>
      <w:pPr>
        <w:pStyle w:val="Compact"/>
        <w:numPr>
          <w:ilvl w:val="0"/>
          <w:numId w:val="1013"/>
        </w:numPr>
      </w:pPr>
      <w:r>
        <w:t xml:space="preserve">Mask growth remains double digit</w:t>
      </w:r>
    </w:p>
    <w:p>
      <w:pPr>
        <w:pStyle w:val="Compact"/>
        <w:numPr>
          <w:ilvl w:val="0"/>
          <w:numId w:val="1013"/>
        </w:numPr>
      </w:pPr>
      <w:r>
        <w:t xml:space="preserve">Gross margin at or above</w:t>
      </w:r>
      <w:r>
        <w:t xml:space="preserve"> </w:t>
      </w:r>
      <w:r>
        <w:rPr>
          <w:b/>
          <w:bCs/>
        </w:rPr>
        <w:t xml:space="preserve">63%</w:t>
      </w:r>
    </w:p>
    <w:p>
      <w:pPr>
        <w:pStyle w:val="Compact"/>
        <w:numPr>
          <w:ilvl w:val="0"/>
          <w:numId w:val="1013"/>
        </w:numPr>
      </w:pPr>
      <w:r>
        <w:t xml:space="preserve">Fiscal 2027 continuing-operations revenue grows high single digits</w:t>
      </w:r>
    </w:p>
    <w:p>
      <w:pPr>
        <w:pStyle w:val="Compact"/>
        <w:numPr>
          <w:ilvl w:val="0"/>
          <w:numId w:val="1013"/>
        </w:numPr>
      </w:pPr>
      <w:r>
        <w:t xml:space="preserve">EPS outlook shows double-digit growth after normalizing for MatrixCare and Noctrix</w:t>
      </w:r>
    </w:p>
    <w:p>
      <w:pPr>
        <w:pStyle w:val="Compact"/>
        <w:numPr>
          <w:ilvl w:val="0"/>
          <w:numId w:val="1013"/>
        </w:numPr>
      </w:pPr>
      <w:r>
        <w:t xml:space="preserve">Large, clearly defined accelerated repurchase</w:t>
      </w:r>
    </w:p>
    <w:p>
      <w:pPr>
        <w:pStyle w:val="FirstParagraph"/>
      </w:pPr>
      <w:r>
        <w:t xml:space="preserve">This would reinforce the view that GLP-1 concerns and competitive fears are not appearing in actual demand.</w:t>
      </w:r>
    </w:p>
    <w:bookmarkEnd w:id="31"/>
    <w:bookmarkStart w:id="32" w:name="base-case"/>
    <w:p>
      <w:pPr>
        <w:pStyle w:val="Heading3"/>
      </w:pPr>
      <w:r>
        <w:t xml:space="preserve">Base case</w:t>
      </w:r>
    </w:p>
    <w:p>
      <w:pPr>
        <w:pStyle w:val="Compact"/>
        <w:numPr>
          <w:ilvl w:val="0"/>
          <w:numId w:val="1014"/>
        </w:numPr>
      </w:pPr>
      <w:r>
        <w:t xml:space="preserve">Revenue of</w:t>
      </w:r>
      <w:r>
        <w:t xml:space="preserve"> </w:t>
      </w:r>
      <m:oMath>
        <m:r>
          <m:t>1.45</m:t>
        </m:r>
        <m:r>
          <m:rPr>
            <m:sty m:val="p"/>
          </m:rPr>
          <m:t>–</m:t>
        </m:r>
      </m:oMath>
      <w:r>
        <w:rPr>
          <w:b/>
          <w:bCs/>
        </w:rPr>
        <w:t xml:space="preserve">1.47 billion</w:t>
      </w:r>
    </w:p>
    <w:p>
      <w:pPr>
        <w:pStyle w:val="Compact"/>
        <w:numPr>
          <w:ilvl w:val="0"/>
          <w:numId w:val="1014"/>
        </w:numPr>
      </w:pPr>
      <w:r>
        <w:t xml:space="preserve">EPS of</w:t>
      </w:r>
      <w:r>
        <w:t xml:space="preserve"> </w:t>
      </w:r>
      <m:oMath>
        <m:r>
          <m:t>2.87</m:t>
        </m:r>
        <m:r>
          <m:rPr>
            <m:sty m:val="p"/>
          </m:rPr>
          <m:t>–</m:t>
        </m:r>
      </m:oMath>
      <w:r>
        <w:rPr>
          <w:b/>
          <w:bCs/>
        </w:rPr>
        <w:t xml:space="preserve">2.92</w:t>
      </w:r>
    </w:p>
    <w:p>
      <w:pPr>
        <w:pStyle w:val="Compact"/>
        <w:numPr>
          <w:ilvl w:val="0"/>
          <w:numId w:val="1014"/>
        </w:numPr>
      </w:pPr>
      <w:r>
        <w:t xml:space="preserve">Gross margin around</w:t>
      </w:r>
      <w:r>
        <w:t xml:space="preserve"> </w:t>
      </w:r>
      <w:r>
        <w:rPr>
          <w:b/>
          <w:bCs/>
        </w:rPr>
        <w:t xml:space="preserve">62.5%–63%</w:t>
      </w:r>
    </w:p>
    <w:p>
      <w:pPr>
        <w:pStyle w:val="Compact"/>
        <w:numPr>
          <w:ilvl w:val="0"/>
          <w:numId w:val="1014"/>
        </w:numPr>
      </w:pPr>
      <w:r>
        <w:t xml:space="preserve">Mid-single-digit device growth and high-single/low-double-digit mask growth</w:t>
      </w:r>
    </w:p>
    <w:p>
      <w:pPr>
        <w:pStyle w:val="Compact"/>
        <w:numPr>
          <w:ilvl w:val="0"/>
          <w:numId w:val="1014"/>
        </w:numPr>
      </w:pPr>
      <w:r>
        <w:t xml:space="preserve">Conservative fiscal 2027 guidance reflecting Noctrix investment and portfolio transition</w:t>
      </w:r>
    </w:p>
    <w:p>
      <w:pPr>
        <w:pStyle w:val="FirstParagraph"/>
      </w:pPr>
      <w:r>
        <w:t xml:space="preserve">An in-line quarter could still produce a constructive reaction if the fiscal 2027 outlook is credible and cleanly explained.</w:t>
      </w:r>
    </w:p>
    <w:bookmarkEnd w:id="32"/>
    <w:bookmarkStart w:id="33" w:name="bear-case"/>
    <w:p>
      <w:pPr>
        <w:pStyle w:val="Heading3"/>
      </w:pPr>
      <w:r>
        <w:t xml:space="preserve">Bear case</w:t>
      </w:r>
    </w:p>
    <w:p>
      <w:pPr>
        <w:pStyle w:val="Compact"/>
        <w:numPr>
          <w:ilvl w:val="0"/>
          <w:numId w:val="1015"/>
        </w:numPr>
      </w:pPr>
      <w:r>
        <w:t xml:space="preserve">Revenue below</w:t>
      </w:r>
      <w:r>
        <w:t xml:space="preserve"> </w:t>
      </w:r>
      <w:r>
        <w:rPr>
          <w:b/>
          <w:bCs/>
        </w:rPr>
        <w:t xml:space="preserve">$1.44 billion</w:t>
      </w:r>
    </w:p>
    <w:p>
      <w:pPr>
        <w:pStyle w:val="Compact"/>
        <w:numPr>
          <w:ilvl w:val="0"/>
          <w:numId w:val="1015"/>
        </w:numPr>
      </w:pPr>
      <w:r>
        <w:t xml:space="preserve">EPS below</w:t>
      </w:r>
      <w:r>
        <w:t xml:space="preserve"> </w:t>
      </w:r>
      <w:r>
        <w:rPr>
          <w:b/>
          <w:bCs/>
        </w:rPr>
        <w:t xml:space="preserve">$2.82</w:t>
      </w:r>
    </w:p>
    <w:p>
      <w:pPr>
        <w:pStyle w:val="Compact"/>
        <w:numPr>
          <w:ilvl w:val="0"/>
          <w:numId w:val="1015"/>
        </w:numPr>
      </w:pPr>
      <w:r>
        <w:t xml:space="preserve">Americas device growth slows to low single digits</w:t>
      </w:r>
    </w:p>
    <w:p>
      <w:pPr>
        <w:pStyle w:val="Compact"/>
        <w:numPr>
          <w:ilvl w:val="0"/>
          <w:numId w:val="1015"/>
        </w:numPr>
      </w:pPr>
      <w:r>
        <w:t xml:space="preserve">Mask growth falls materially below 10%</w:t>
      </w:r>
    </w:p>
    <w:p>
      <w:pPr>
        <w:pStyle w:val="Compact"/>
        <w:numPr>
          <w:ilvl w:val="0"/>
          <w:numId w:val="1015"/>
        </w:numPr>
      </w:pPr>
      <w:r>
        <w:t xml:space="preserve">Gross margin drops below</w:t>
      </w:r>
      <w:r>
        <w:t xml:space="preserve"> </w:t>
      </w:r>
      <w:r>
        <w:rPr>
          <w:b/>
          <w:bCs/>
        </w:rPr>
        <w:t xml:space="preserve">62.5%</w:t>
      </w:r>
    </w:p>
    <w:p>
      <w:pPr>
        <w:pStyle w:val="Compact"/>
        <w:numPr>
          <w:ilvl w:val="0"/>
          <w:numId w:val="1015"/>
        </w:numPr>
      </w:pPr>
      <w:r>
        <w:t xml:space="preserve">Fiscal 2027 guidance implies limited earnings growth because of weaker margins, Noctrix dilution and stranded costs</w:t>
      </w:r>
    </w:p>
    <w:p>
      <w:pPr>
        <w:pStyle w:val="Compact"/>
        <w:numPr>
          <w:ilvl w:val="0"/>
          <w:numId w:val="1015"/>
        </w:numPr>
      </w:pPr>
      <w:r>
        <w:t xml:space="preserve">Unclear timing or scale of capital returns</w:t>
      </w:r>
    </w:p>
    <w:p>
      <w:pPr>
        <w:pStyle w:val="FirstParagraph"/>
      </w:pPr>
      <w:r>
        <w:t xml:space="preserve">The most damaging combination would be slower core-device demand plus evidence that the gross-margin expansion cycle has peaked.</w:t>
      </w:r>
    </w:p>
    <w:bookmarkEnd w:id="33"/>
    <w:bookmarkEnd w:id="34"/>
    <w:bookmarkStart w:id="35" w:name="bottom-line"/>
    <w:p>
      <w:pPr>
        <w:pStyle w:val="Heading2"/>
      </w:pPr>
      <w:r>
        <w:t xml:space="preserve">Bottom line</w:t>
      </w:r>
    </w:p>
    <w:p>
      <w:pPr>
        <w:pStyle w:val="FirstParagraph"/>
      </w:pPr>
      <w:r>
        <w:t xml:space="preserve">The fiscal Q4 hurdle looks manageable: approximately</w:t>
      </w:r>
      <w:r>
        <w:t xml:space="preserve"> </w:t>
      </w:r>
      <w:r>
        <w:rPr>
          <w:b/>
          <w:bCs/>
        </w:rPr>
        <w:t xml:space="preserve">8%–9% revenue growth and low-to-mid-teens adjusted EPS growth</w:t>
      </w:r>
      <w:r>
        <w:t xml:space="preserve">. ResMed’s recent execution supports at least an in-line result, particularly given strong mask demand and continued supply-chain productivity.</w:t>
      </w:r>
    </w:p>
    <w:p>
      <w:pPr>
        <w:pStyle w:val="BodyText"/>
      </w:pPr>
      <w:r>
        <w:t xml:space="preserve">However,</w:t>
      </w:r>
      <w:r>
        <w:t xml:space="preserve"> </w:t>
      </w:r>
      <w:r>
        <w:rPr>
          <w:b/>
          <w:bCs/>
        </w:rPr>
        <w:t xml:space="preserve">the quarter is secondary to the fiscal 2027 outlook</w:t>
      </w:r>
      <w:r>
        <w:t xml:space="preserve">. Investors need a bridge that separates:</w:t>
      </w:r>
    </w:p>
    <w:p>
      <w:pPr>
        <w:pStyle w:val="Compact"/>
        <w:numPr>
          <w:ilvl w:val="0"/>
          <w:numId w:val="1016"/>
        </w:numPr>
      </w:pPr>
      <w:r>
        <w:t xml:space="preserve">Organic Sleep and Breathing Health growth</w:t>
      </w:r>
    </w:p>
    <w:p>
      <w:pPr>
        <w:pStyle w:val="Compact"/>
        <w:numPr>
          <w:ilvl w:val="0"/>
          <w:numId w:val="1016"/>
        </w:numPr>
      </w:pPr>
      <w:r>
        <w:t xml:space="preserve">The removal of MatrixCare revenue and profit</w:t>
      </w:r>
    </w:p>
    <w:p>
      <w:pPr>
        <w:pStyle w:val="Compact"/>
        <w:numPr>
          <w:ilvl w:val="0"/>
          <w:numId w:val="1016"/>
        </w:numPr>
      </w:pPr>
      <w:r>
        <w:t xml:space="preserve">Noctrix’s revenue contribution and $0.20 EPS dilution</w:t>
      </w:r>
    </w:p>
    <w:p>
      <w:pPr>
        <w:pStyle w:val="Compact"/>
        <w:numPr>
          <w:ilvl w:val="0"/>
          <w:numId w:val="1016"/>
        </w:numPr>
      </w:pPr>
      <w:r>
        <w:t xml:space="preserve">Stranded and transition-service costs</w:t>
      </w:r>
    </w:p>
    <w:p>
      <w:pPr>
        <w:pStyle w:val="Compact"/>
        <w:numPr>
          <w:ilvl w:val="0"/>
          <w:numId w:val="1016"/>
        </w:numPr>
      </w:pPr>
      <w:r>
        <w:t xml:space="preserve">Share-repurchase accretion</w:t>
      </w:r>
    </w:p>
    <w:p>
      <w:pPr>
        <w:pStyle w:val="Compact"/>
        <w:numPr>
          <w:ilvl w:val="0"/>
          <w:numId w:val="1016"/>
        </w:numPr>
      </w:pPr>
      <w:r>
        <w:t xml:space="preserve">Continued gross-margin improvement</w:t>
      </w:r>
    </w:p>
    <w:p>
      <w:pPr>
        <w:pStyle w:val="FirstParagraph"/>
      </w:pPr>
      <w:r>
        <w:t xml:space="preserve">The most bullish outcome is not simply an EPS beat. It is evidence that ResMed can sustain mid-single-digit device growth, double-digit recurring mask growth and incremental margin improvement while simplifying its portfolio. If management can establish that framework, the stock’s compressed valuation leaves room for a favorable re-rating. If fiscal 2027 guidance instead points to slowing organic demand and little further operating leverage, a routine Q4 beat may not be enough.</w:t>
      </w:r>
    </w:p>
    <w:bookmarkEnd w:id="35"/>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earnings-documents-prod.s3.amazonaws.com/40dbeb0d-8209-41ac-9870-c10a39c965b2/slides.pdf?X-Amz-Algorithm=AWS4-HMAC-SHA256&amp;X-Amz-Credential=ASIAWUJMVP6Y4AAXRAXU%2F20260704%2Fus-east-1%2Fs3%2Faws4_request&amp;X-Amz-Date=20260704T023613Z&amp;X-Amz-Expires=900&amp;X-Amz-Security-Token=IQoJb3JpZ2luX2VjEFMaCXVzLWVhc3QtMSJHMEUCIQCHTJGittDWdX6E30oVFNOuSNoOWJVl1FW3QhvXguQkSwIgUIqfw4EANWj5NYHbS9rqiOwW2R6xc3fwQIn%2BQy7kMWYq%2BwQIHBAEGgw0NTU4OTcwODc5MjEiDG1g2K%2F%2FdyXrTAJqdCrYBG0mqdK6cUjIfmbPhi09qHZvW2AiGIKwfICx4Z7N8VdjY2rX4y6frWHwgBCDUFJP9DIBOn1tPAPismsPFvVphwGvY30VgKLURizJ5BPoNRfKGW7JkkRXvbdtPtjB0bN9bEBfvhxxwESrvClEucNgq2p0iM03roFA1kSKehPaEhs6IlKtpbZBy2%2FTWCmORKfm9KppNDmbgT9z%2BCudDPbA8eGFvjXqs04M9slkPmgSHm18hW4vaAjmM6lltdIGr6EOAu7sTqsbTa0Al8sK%2F9mFtLvM%2Fj11E2jt%2FtW7TofieaNdximLoFPg%2B8C0kVzs2zT3du%2Fj4M24sy51CAm8HwiyoI6HbbV6L1D62bejvfvHcCjY89RnFFgJOIzt659Z5J86d%2FK75BjaYGX2qaX5jOIFVTHMjM51GJDEov8Dg3q72c27fpBHA3zQpmFXzoj2ApvtVaYUGVY82kFdTIC5v4LqygzrACyKZ5bGd87gCFLZRb14gVzYB%2B0WV3Ba3XtjTLGXYzU9qIfdjfrieJstEikwHK2dkrRAIf4biybMwJgRD2DoBRHG3TPi6jTurLelZawXzo6vVk4vk6b9k%2BAswgO3YFbk21kvbk4KDZWESNqq2JZle2N5sfakvuk9xDMba5qrp%2BTdT3Gd9LNymoTZ6JVh73jPBbQP0UFQx1Wyq5SBrNc260u01Mk%2FhsvoGVWaVbvfexgtU8w%2Ff7Ebb0huyXXWL92JsBYcJ8aZBpbQbYRi%2FVhk1cpact4etz4BADtlb1GxxXs2Rz44hL6nMhb5gq8l1o4Fw12EigP8BDCd46HSBjqYAfB3m4WinCyC6oCpnYn5x2cXoFmKFqtJkH3HzSqa7dDmi3F5L5TOwfA0RfeEYGEibl9aa6wTNLqr8XHToVvg8Z%2BQ8dIIs4FdLDrVZfjOzgxByrl19iTzSp74o1YKJTRxv%2BZH2zFhoYXrvy4h4rOrTphoN9yXsWMNRGYvaFz3ZB6dgjbN16xUSHv7Ywz9KGI%2BpQb%2FYToGxwec&amp;X-Amz-Signature=6abd80789bec73f4e15b3bb101af58ce85e693692a1f59ab53c683f3035a3d2f&amp;X-Amz-SignedHeaders=host&amp;utm_source=openai" TargetMode="External" /><Relationship Type="http://schemas.openxmlformats.org/officeDocument/2006/relationships/hyperlink" Id="rId17" Target="https://finance.yahoo.com/markets/stocks/articles/why-resmed-rmd-shares-falling-205104932.html?utm_source=openai" TargetMode="External" /><Relationship Type="http://schemas.openxmlformats.org/officeDocument/2006/relationships/hyperlink" Id="rId14" Target="https://investor.resmed.com/news-events/press-releases/detail/420/resmed-inc-announces-results-for-the-third-quarter-of-fiscal-year-2026?utm_source=openai" TargetMode="External" /><Relationship Type="http://schemas.openxmlformats.org/officeDocument/2006/relationships/hyperlink" Id="rId9" Target="https://investor.resmed.com/news-events/press-releases/detail/425/resmed-to-report-fourth-quarter-fiscal-2026-earnings-on-august-6-2026?utm_source=openai" TargetMode="External" /><Relationship Type="http://schemas.openxmlformats.org/officeDocument/2006/relationships/hyperlink" Id="rId19" Target="https://investor.resmed.com/sec-filings/content/0001193125-26-297658/d88958d8k.htm?utm_source=openai" TargetMode="External" /><Relationship Type="http://schemas.openxmlformats.org/officeDocument/2006/relationships/hyperlink" Id="rId11" Target="https://www.benzinga.com/quote/RMD/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earnings-documents-prod.s3.amazonaws.com/40dbeb0d-8209-41ac-9870-c10a39c965b2/slides.pdf?X-Amz-Algorithm=AWS4-HMAC-SHA256&amp;X-Amz-Credential=ASIAWUJMVP6Y4AAXRAXU%2F20260704%2Fus-east-1%2Fs3%2Faws4_request&amp;X-Amz-Date=20260704T023613Z&amp;X-Amz-Expires=900&amp;X-Amz-Security-Token=IQoJb3JpZ2luX2VjEFMaCXVzLWVhc3QtMSJHMEUCIQCHTJGittDWdX6E30oVFNOuSNoOWJVl1FW3QhvXguQkSwIgUIqfw4EANWj5NYHbS9rqiOwW2R6xc3fwQIn%2BQy7kMWYq%2BwQIHBAEGgw0NTU4OTcwODc5MjEiDG1g2K%2F%2FdyXrTAJqdCrYBG0mqdK6cUjIfmbPhi09qHZvW2AiGIKwfICx4Z7N8VdjY2rX4y6frWHwgBCDUFJP9DIBOn1tPAPismsPFvVphwGvY30VgKLURizJ5BPoNRfKGW7JkkRXvbdtPtjB0bN9bEBfvhxxwESrvClEucNgq2p0iM03roFA1kSKehPaEhs6IlKtpbZBy2%2FTWCmORKfm9KppNDmbgT9z%2BCudDPbA8eGFvjXqs04M9slkPmgSHm18hW4vaAjmM6lltdIGr6EOAu7sTqsbTa0Al8sK%2F9mFtLvM%2Fj11E2jt%2FtW7TofieaNdximLoFPg%2B8C0kVzs2zT3du%2Fj4M24sy51CAm8HwiyoI6HbbV6L1D62bejvfvHcCjY89RnFFgJOIzt659Z5J86d%2FK75BjaYGX2qaX5jOIFVTHMjM51GJDEov8Dg3q72c27fpBHA3zQpmFXzoj2ApvtVaYUGVY82kFdTIC5v4LqygzrACyKZ5bGd87gCFLZRb14gVzYB%2B0WV3Ba3XtjTLGXYzU9qIfdjfrieJstEikwHK2dkrRAIf4biybMwJgRD2DoBRHG3TPi6jTurLelZawXzo6vVk4vk6b9k%2BAswgO3YFbk21kvbk4KDZWESNqq2JZle2N5sfakvuk9xDMba5qrp%2BTdT3Gd9LNymoTZ6JVh73jPBbQP0UFQx1Wyq5SBrNc260u01Mk%2FhsvoGVWaVbvfexgtU8w%2Ff7Ebb0huyXXWL92JsBYcJ8aZBpbQbYRi%2FVhk1cpact4etz4BADtlb1GxxXs2Rz44hL6nMhb5gq8l1o4Fw12EigP8BDCd46HSBjqYAfB3m4WinCyC6oCpnYn5x2cXoFmKFqtJkH3HzSqa7dDmi3F5L5TOwfA0RfeEYGEibl9aa6wTNLqr8XHToVvg8Z%2BQ8dIIs4FdLDrVZfjOzgxByrl19iTzSp74o1YKJTRxv%2BZH2zFhoYXrvy4h4rOrTphoN9yXsWMNRGYvaFz3ZB6dgjbN16xUSHv7Ywz9KGI%2BpQb%2FYToGxwec&amp;X-Amz-Signature=6abd80789bec73f4e15b3bb101af58ce85e693692a1f59ab53c683f3035a3d2f&amp;X-Amz-SignedHeaders=host&amp;utm_source=openai" TargetMode="External" /><Relationship Type="http://schemas.openxmlformats.org/officeDocument/2006/relationships/hyperlink" Id="rId17" Target="https://finance.yahoo.com/markets/stocks/articles/why-resmed-rmd-shares-falling-205104932.html?utm_source=openai" TargetMode="External" /><Relationship Type="http://schemas.openxmlformats.org/officeDocument/2006/relationships/hyperlink" Id="rId14" Target="https://investor.resmed.com/news-events/press-releases/detail/420/resmed-inc-announces-results-for-the-third-quarter-of-fiscal-year-2026?utm_source=openai" TargetMode="External" /><Relationship Type="http://schemas.openxmlformats.org/officeDocument/2006/relationships/hyperlink" Id="rId9" Target="https://investor.resmed.com/news-events/press-releases/detail/425/resmed-to-report-fourth-quarter-fiscal-2026-earnings-on-august-6-2026?utm_source=openai" TargetMode="External" /><Relationship Type="http://schemas.openxmlformats.org/officeDocument/2006/relationships/hyperlink" Id="rId19" Target="https://investor.resmed.com/sec-filings/content/0001193125-26-297658/d88958d8k.htm?utm_source=openai" TargetMode="External" /><Relationship Type="http://schemas.openxmlformats.org/officeDocument/2006/relationships/hyperlink" Id="rId11" Target="https://www.benzinga.com/quote/RMD/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2026-08-06T01:00:07Z</dcterms:created>
  <dcterms:modified xsi:type="dcterms:W3CDTF">2026-08-06T01:00:07Z</dcterms:modified>
</cp:coreProperties>
</file>

<file path=docProps/custom.xml><?xml version="1.0" encoding="utf-8"?>
<Properties xmlns="http://schemas.openxmlformats.org/officeDocument/2006/custom-properties" xmlns:vt="http://schemas.openxmlformats.org/officeDocument/2006/docPropsVTypes"/>
</file>